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4148" w14:textId="77777777" w:rsidR="00386C78" w:rsidRDefault="00000000">
      <w:pPr>
        <w:pStyle w:val="Title"/>
      </w:pPr>
      <w:r>
        <w:t>INL Partnership Strategy Brief: Battery-Critical-Metals Recovery</w:t>
      </w:r>
    </w:p>
    <w:p w14:paraId="21DD1F6E" w14:textId="77777777" w:rsidR="00386C78" w:rsidRDefault="00000000">
      <w:r>
        <w:rPr>
          <w:b/>
        </w:rPr>
        <w:t>Internal prep for the INL meeting (Ryan Bills, Energy &amp; Environment S&amp;T commercialization manager), week of 2026-07-28</w:t>
      </w:r>
    </w:p>
    <w:p w14:paraId="3B0B823F" w14:textId="77777777" w:rsidR="00386C78" w:rsidRDefault="00000000">
      <w:r>
        <w:t>Audience: Andy Johnston, JE leadership. Prepared 2026-07-24 by Riley Jackson. Status: internal, pre-meeting. Not for external distribution. Sources are numbered [n] inline and listed at the end.</w:t>
      </w:r>
    </w:p>
    <w:p w14:paraId="43908912" w14:textId="77777777" w:rsidR="00386C78" w:rsidRDefault="00000000">
      <w:pPr>
        <w:pStyle w:val="Heading1"/>
      </w:pPr>
      <w:r>
        <w:rPr>
          <w:color w:val="1F3964"/>
        </w:rPr>
        <w:t>1. The thesis, in one paragraph</w:t>
      </w:r>
    </w:p>
    <w:p w14:paraId="1AE75DBE" w14:textId="77777777" w:rsidR="00386C78" w:rsidRDefault="00000000">
      <w:r>
        <w:t xml:space="preserve">Idaho National Laboratory (INL) has a lab-validated (TRL 4) closed-loop electrochemical process for recovering lithium, cobalt, nickel, and manganese from spent battery material, and it is openly seeking a commercialization partner through a license and/or CRADA [2][3]. The process is proven at the beaker scale. It is not yet a machine. Closing that gap, turning validated electrochemistry into a manufacturable, field-deployable recovery skid, is precisely Johnston Engineering's (JE) core business. Our objective for this meeting is to position JE as INL's hardware and scale-up engineering partner, and to open a path in which a battery-recycling client licenses the IP, </w:t>
      </w:r>
      <w:r w:rsidRPr="00347EED">
        <w:rPr>
          <w:b/>
          <w:bCs/>
        </w:rPr>
        <w:t>non-dilutive federal funding pays for the build</w:t>
      </w:r>
      <w:r>
        <w:t>, and JE engineers and builds the system.</w:t>
      </w:r>
    </w:p>
    <w:p w14:paraId="39041292" w14:textId="77777777" w:rsidR="00386C78" w:rsidRDefault="00000000">
      <w:pPr>
        <w:pStyle w:val="Heading1"/>
      </w:pPr>
      <w:r>
        <w:rPr>
          <w:color w:val="1F3964"/>
        </w:rPr>
        <w:t>2. Why this is worth JE's time</w:t>
      </w:r>
    </w:p>
    <w:p w14:paraId="6C494EFE" w14:textId="77777777" w:rsidR="00386C78" w:rsidRDefault="00000000">
      <w:pPr>
        <w:pStyle w:val="ListBullet"/>
      </w:pPr>
      <w:r>
        <w:rPr>
          <w:b/>
        </w:rPr>
        <w:t>Federal priority alignment.</w:t>
      </w:r>
      <w:r>
        <w:t xml:space="preserve"> Domestic recovery of battery-critical metals is a stated DOE priority (critical materials) and a Department of War supply-chain priority (reducing foreign dependence on nickel, cobalt, lithium, and rare earths) [3][8].</w:t>
      </w:r>
    </w:p>
    <w:p w14:paraId="53684BF3" w14:textId="77777777" w:rsidR="00386C78" w:rsidRDefault="00000000">
      <w:pPr>
        <w:pStyle w:val="ListBullet"/>
      </w:pPr>
      <w:r>
        <w:rPr>
          <w:b/>
        </w:rPr>
        <w:t>The compelling event exists.</w:t>
      </w:r>
      <w:r>
        <w:t xml:space="preserve"> Several non-dilutive vehicles fund exactly this maturation step (Section 6).</w:t>
      </w:r>
    </w:p>
    <w:p w14:paraId="633695D9" w14:textId="77777777" w:rsidR="00386C78" w:rsidRDefault="00000000">
      <w:pPr>
        <w:pStyle w:val="ListBullet"/>
      </w:pPr>
      <w:r>
        <w:rPr>
          <w:b/>
        </w:rPr>
        <w:t>It fits our FOAK model exactly.</w:t>
      </w:r>
      <w:r>
        <w:t xml:space="preserve"> INL's IP sits at TRL 4 [2]. Our specialty is TRL 3 to 9. This is the climb we run for a living.</w:t>
      </w:r>
    </w:p>
    <w:p w14:paraId="401F873D" w14:textId="77777777" w:rsidR="00386C78" w:rsidRDefault="00000000">
      <w:pPr>
        <w:pStyle w:val="ListBullet"/>
      </w:pPr>
      <w:r>
        <w:rPr>
          <w:b/>
        </w:rPr>
        <w:t>Proven template.</w:t>
      </w:r>
      <w:r>
        <w:t xml:space="preserve"> This mirrors the Ames Laboratory to TdVib license-then-fund play that seeded Critical Materials Recycling (Boone, IA) [8]. We are running a known motion, not inventing one.</w:t>
      </w:r>
    </w:p>
    <w:p w14:paraId="14940E19" w14:textId="77777777" w:rsidR="00386C78" w:rsidRDefault="00000000">
      <w:pPr>
        <w:pStyle w:val="Heading1"/>
      </w:pPr>
      <w:r>
        <w:rPr>
          <w:color w:val="1F3964"/>
        </w:rPr>
        <w:t>3. The technology, in engineering terms</w:t>
      </w:r>
    </w:p>
    <w:p w14:paraId="0EED8DE2" w14:textId="77777777" w:rsidR="00386C78" w:rsidRDefault="00000000">
      <w:r>
        <w:t>INL's system is two complementary, patented steps that together close the loop.</w:t>
      </w:r>
    </w:p>
    <w:p w14:paraId="4A68BE70" w14:textId="77777777" w:rsidR="00386C78" w:rsidRDefault="00000000">
      <w:r>
        <w:rPr>
          <w:b/>
        </w:rPr>
        <w:lastRenderedPageBreak/>
        <w:t>Step 1: Electrochemical leaching (EC-Leach).</w:t>
      </w:r>
      <w:r>
        <w:t xml:space="preserve"> US Patent 12,388,123, granted August 2025, in force to approximately 2042; assignee Battelle Energy Alliance, with only a standard DOE confirmatory license on record and no third-party commercial license found [1]. Spent cathode "black mass" is placed in the cathode chamber of an electrochemical cell. An acid electrolyte carrying a ferric/ferrous redox couple dissolves lithium and cobalt out of the active material under applied current. No roasting, no high-temperature pyrometallurgy [1][3].</w:t>
      </w:r>
    </w:p>
    <w:p w14:paraId="2F5EB664" w14:textId="77777777" w:rsidR="00386C78" w:rsidRDefault="00000000">
      <w:r>
        <w:rPr>
          <w:b/>
        </w:rPr>
        <w:t>Step 2: Electrochemical membrane reactor.</w:t>
      </w:r>
      <w:r>
        <w:t xml:space="preserve"> Protected under PCT/US22/72109 and actively marketed by INL on the Lab Partnering Service [2]. The pregnant leach solution enters a membrane reactor where applied current drives a pH swing that plates out copper, rejects aluminum and iron, and recovers more than 95% of the nickel and cobalt. Critically, it regenerates the acid, which returns to Step 1 [2][3].</w:t>
      </w:r>
    </w:p>
    <w:p w14:paraId="5F87DCCA" w14:textId="77777777" w:rsidR="00386C78" w:rsidRDefault="00000000">
      <w:r>
        <w:rPr>
          <w:b/>
        </w:rPr>
        <w:t>The closed loop:</w:t>
      </w:r>
      <w:r>
        <w:t xml:space="preserve"> black mass in; recovered metal salts and regenerated acid out; using only water, air, and electricity [3]. This is a fundamentally electrified, low-reagent alternative to solvent-extraction hydrometallurgy.</w:t>
      </w:r>
    </w:p>
    <w:p w14:paraId="7A2E0FA4" w14:textId="77777777" w:rsidR="00386C78" w:rsidRDefault="00000000">
      <w:pPr>
        <w:pStyle w:val="Heading1"/>
      </w:pPr>
      <w:r>
        <w:rPr>
          <w:color w:val="1F3964"/>
        </w:rPr>
        <w:t>4. Where JE creates the value, and the core-IP line we will hold</w:t>
      </w:r>
    </w:p>
    <w:p w14:paraId="541AF3BF" w14:textId="77777777" w:rsidR="00386C78" w:rsidRDefault="00000000">
      <w:r>
        <w:t>The lab has the chemistry. It does not have the machine. Moving from a validated cell to a pilot-scale skid requires the full stack of JE capability:</w:t>
      </w:r>
    </w:p>
    <w:p w14:paraId="2905D941" w14:textId="77777777" w:rsidR="00386C78" w:rsidRDefault="00000000">
      <w:pPr>
        <w:pStyle w:val="ListBullet"/>
      </w:pPr>
      <w:r>
        <w:t>Electrochemical cell and stack mechanical design: flow fields, current collectors, sealing, manifolding.</w:t>
      </w:r>
    </w:p>
    <w:p w14:paraId="606C578C" w14:textId="77777777" w:rsidR="00386C78" w:rsidRDefault="00000000">
      <w:pPr>
        <w:pStyle w:val="ListBullet"/>
      </w:pPr>
      <w:r>
        <w:t>Fluid and process engineering: the acid-regeneration recycle loop, pumps, valves, piping, tankage, and closed mass balance.</w:t>
      </w:r>
    </w:p>
    <w:p w14:paraId="376773E5" w14:textId="77777777" w:rsidR="00386C78" w:rsidRDefault="00000000">
      <w:pPr>
        <w:pStyle w:val="ListBullet"/>
      </w:pPr>
      <w:r>
        <w:t>Analysis-driven design: CFD on flow and current distribution across scaled electrodes, thermal management, and structural design of the skid.</w:t>
      </w:r>
    </w:p>
    <w:p w14:paraId="16D5F076" w14:textId="77777777" w:rsidR="00386C78" w:rsidRDefault="00000000">
      <w:pPr>
        <w:pStyle w:val="ListBullet"/>
      </w:pPr>
      <w:r>
        <w:t>Safety and controls: acid handling, hydrogen and oxygen venting, and instrumentation and control of current, pH, flow, and temperature.</w:t>
      </w:r>
    </w:p>
    <w:p w14:paraId="2876914C" w14:textId="77777777" w:rsidR="00386C78" w:rsidRDefault="00000000">
      <w:pPr>
        <w:pStyle w:val="ListBullet"/>
      </w:pPr>
      <w:r>
        <w:t>Design for manufacture and a build: containerized, modular, and serviceable, plus a test campaign to prove throughput, current efficiency, and membrane life at scale.</w:t>
      </w:r>
    </w:p>
    <w:p w14:paraId="67B0CD73" w14:textId="77777777" w:rsidR="00386C78" w:rsidRDefault="00000000">
      <w:r>
        <w:t>We hold JE's standard core-IP line clearly in the meeting: INL and the eventual licensee keep the electrochemistry, the redox and membrane recipes, and the process know-how. JE designs, analyzes, builds, and tests the hardware around that science. This is the message that puts INL at ease. We are not there to take their invention. We are there to turn it into a machine.</w:t>
      </w:r>
    </w:p>
    <w:p w14:paraId="04C6A181" w14:textId="77777777" w:rsidR="00386C78" w:rsidRDefault="00000000">
      <w:pPr>
        <w:pStyle w:val="Heading1"/>
      </w:pPr>
      <w:r>
        <w:rPr>
          <w:color w:val="1F3964"/>
        </w:rPr>
        <w:t>5. Deal structures to discuss</w:t>
      </w:r>
    </w:p>
    <w:p w14:paraId="532E747B" w14:textId="77777777" w:rsidR="00386C78" w:rsidRDefault="00000000">
      <w:pPr>
        <w:pStyle w:val="ListBullet"/>
      </w:pPr>
      <w:r>
        <w:rPr>
          <w:b/>
        </w:rPr>
        <w:t>Commercial license.</w:t>
      </w:r>
      <w:r>
        <w:t xml:space="preserve"> INL's own stated target is a nonexclusive license executed within roughly 90 days of term negotiation, with minimal up-front fees and back-end royalties [4]. This is the path if a client is ready to license directly.</w:t>
      </w:r>
    </w:p>
    <w:p w14:paraId="38376960" w14:textId="77777777" w:rsidR="00386C78" w:rsidRDefault="00000000">
      <w:pPr>
        <w:pStyle w:val="ListBullet"/>
      </w:pPr>
      <w:r>
        <w:rPr>
          <w:b/>
        </w:rPr>
        <w:lastRenderedPageBreak/>
        <w:t>CRADA.</w:t>
      </w:r>
      <w:r>
        <w:t xml:space="preserve"> Five-year data protection, the participant may negotiate an exclusive license to lab inventions, and the participant can fund lab effort (the lab cannot fund the participant) [5]. Best fit if JE brings a funded client and we co-mature the skid with INL.</w:t>
      </w:r>
    </w:p>
    <w:p w14:paraId="40D267C9" w14:textId="77777777" w:rsidR="00386C78" w:rsidRDefault="00000000">
      <w:pPr>
        <w:pStyle w:val="ListBullet"/>
      </w:pPr>
      <w:r>
        <w:rPr>
          <w:b/>
        </w:rPr>
        <w:t>Recommended shape.</w:t>
      </w:r>
      <w:r>
        <w:t xml:space="preserve"> A battery-recycling client is the licensee and commercialization lead, INL is the research partner, and JE is the engineering and build partner. JE's revenue is the design-build-test engagement at our normal rates, not the license itself. This keeps JE capital-light and IP-clean.</w:t>
      </w:r>
    </w:p>
    <w:p w14:paraId="62E450AD" w14:textId="77777777" w:rsidR="00386C78" w:rsidRDefault="00000000">
      <w:pPr>
        <w:pStyle w:val="ListBullet"/>
      </w:pPr>
      <w:r>
        <w:rPr>
          <w:b/>
        </w:rPr>
        <w:t>Be ready for INL's nonnegotiables:</w:t>
      </w:r>
      <w:r>
        <w:t xml:space="preserve"> DOE operating-contract clauses and the US-manufacturing preference [4][5]. Neither conflicts with JE's model.</w:t>
      </w:r>
    </w:p>
    <w:p w14:paraId="6BF7E1B3" w14:textId="77777777" w:rsidR="00386C78" w:rsidRDefault="00000000">
      <w:pPr>
        <w:pStyle w:val="Heading1"/>
      </w:pPr>
      <w:r>
        <w:rPr>
          <w:color w:val="1F3964"/>
        </w:rPr>
        <w:t>6. The funding architecture (this is the compelling event)</w:t>
      </w:r>
    </w:p>
    <w:p w14:paraId="1F9A7C9A" w14:textId="77777777" w:rsidR="00386C78" w:rsidRDefault="00000000">
      <w:r>
        <w:t>JE does not need to win the funding. JE positions the client to win it, and builds the hardware it pays for.</w:t>
      </w:r>
    </w:p>
    <w:p w14:paraId="04AADB11" w14:textId="77777777" w:rsidR="00386C78" w:rsidRDefault="00000000">
      <w:pPr>
        <w:pStyle w:val="ListBullet"/>
      </w:pPr>
      <w:r>
        <w:rPr>
          <w:b/>
        </w:rPr>
        <w:t>DOE OTT Technology Commercialization Fund (TCF):</w:t>
      </w:r>
      <w:r>
        <w:t xml:space="preserve"> approximately $20M, structured to match private-partner funds to mature national-lab energy IP [7]. The most direct fit: a private match plus TCF co-funds the skid, with INL as the originating lab.</w:t>
      </w:r>
    </w:p>
    <w:p w14:paraId="29A2DAB7" w14:textId="77777777" w:rsidR="00386C78" w:rsidRDefault="00000000">
      <w:pPr>
        <w:pStyle w:val="ListBullet"/>
      </w:pPr>
      <w:r>
        <w:rPr>
          <w:b/>
        </w:rPr>
        <w:t>ARPA-E SCALEUP (rolling):</w:t>
      </w:r>
      <w:r>
        <w:t xml:space="preserve"> exclusive licensees of ARPA-E-funded patented IP are eligible; the license-then-scale route [8].</w:t>
      </w:r>
    </w:p>
    <w:p w14:paraId="67AD7984" w14:textId="77777777" w:rsidR="00386C78" w:rsidRDefault="00000000">
      <w:pPr>
        <w:pStyle w:val="ListBullet"/>
      </w:pPr>
      <w:r>
        <w:rPr>
          <w:b/>
        </w:rPr>
        <w:t>American-Made prizes:</w:t>
      </w:r>
      <w:r>
        <w:t xml:space="preserve"> Re-X ($4.5M) and E-Scrap ($4M), zero cost share [8].</w:t>
      </w:r>
    </w:p>
    <w:p w14:paraId="051BB165" w14:textId="77777777" w:rsidR="00386C78" w:rsidRDefault="00000000">
      <w:pPr>
        <w:pStyle w:val="ListBullet"/>
      </w:pPr>
      <w:r>
        <w:rPr>
          <w:b/>
        </w:rPr>
        <w:t>DOE critical-materials programs and SBIR/STTR</w:t>
      </w:r>
      <w:r>
        <w:t xml:space="preserve"> (NSF standard date 9/5; DOE), plus DoW critical-materials supply-chain funding (Defense Production Act Title III style) [8].</w:t>
      </w:r>
    </w:p>
    <w:p w14:paraId="12712D83" w14:textId="77777777" w:rsidR="00386C78" w:rsidRDefault="00000000">
      <w:pPr>
        <w:pStyle w:val="Heading1"/>
      </w:pPr>
      <w:r>
        <w:rPr>
          <w:color w:val="1F3964"/>
        </w:rPr>
        <w:t>7. What we need to learn in the meeting (intelligence objectives)</w:t>
      </w:r>
    </w:p>
    <w:p w14:paraId="1AEBA873" w14:textId="77777777" w:rsidR="00386C78" w:rsidRDefault="00000000">
      <w:pPr>
        <w:pStyle w:val="ListNumber"/>
      </w:pPr>
      <w:r>
        <w:rPr>
          <w:b/>
        </w:rPr>
        <w:t>Availability and exclusivity.</w:t>
      </w:r>
      <w:r>
        <w:t xml:space="preserve"> Is any evaluation, option, or commercial license already out on either patent? Is an exclusive available, or only nonexclusive? How flexible is field-of-use (EV batteries vs. defense cells vs. production scrap)? (Public records show no third-party license, but confirm live [1].)</w:t>
      </w:r>
    </w:p>
    <w:p w14:paraId="5DA9FD8C" w14:textId="77777777" w:rsidR="00386C78" w:rsidRDefault="00000000">
      <w:pPr>
        <w:pStyle w:val="ListNumber"/>
      </w:pPr>
      <w:r>
        <w:rPr>
          <w:b/>
        </w:rPr>
        <w:t>Demonstrated performance and scale-up risk.</w:t>
      </w:r>
      <w:r>
        <w:t xml:space="preserve"> What throughput, current efficiency, and membrane life has INL measured? Which black-mass chemistries have been run? What does INL see as the hardest scale-up problems? These answers define our engagement scope.</w:t>
      </w:r>
    </w:p>
    <w:p w14:paraId="5D70BF6C" w14:textId="77777777" w:rsidR="00386C78" w:rsidRDefault="00000000">
      <w:pPr>
        <w:pStyle w:val="ListNumber"/>
      </w:pPr>
      <w:r>
        <w:rPr>
          <w:b/>
        </w:rPr>
        <w:t>Appetite for a CRADA</w:t>
      </w:r>
      <w:r>
        <w:t xml:space="preserve"> with JE as the hardware and scale-up partner, not only a license.</w:t>
      </w:r>
    </w:p>
    <w:p w14:paraId="496C6AB9" w14:textId="77777777" w:rsidR="00386C78" w:rsidRDefault="00000000">
      <w:pPr>
        <w:pStyle w:val="ListNumber"/>
      </w:pPr>
      <w:r>
        <w:rPr>
          <w:b/>
        </w:rPr>
        <w:t>Technical POC access.</w:t>
      </w:r>
      <w:r>
        <w:t xml:space="preserve"> The inventors (Diaz Aldana, Lister, Klaehn) are the team [1]. Can we get a technical deep-dive?</w:t>
      </w:r>
    </w:p>
    <w:p w14:paraId="5F4728E7" w14:textId="77777777" w:rsidR="00386C78" w:rsidRDefault="00000000">
      <w:pPr>
        <w:pStyle w:val="ListNumber"/>
      </w:pPr>
      <w:r>
        <w:rPr>
          <w:b/>
        </w:rPr>
        <w:t>Competitive picture.</w:t>
      </w:r>
      <w:r>
        <w:t xml:space="preserve"> Are other industry partners already circling this IP?</w:t>
      </w:r>
    </w:p>
    <w:p w14:paraId="47F8FCC2" w14:textId="77777777" w:rsidR="00386C78" w:rsidRDefault="00000000">
      <w:pPr>
        <w:pStyle w:val="ListNumber"/>
      </w:pPr>
      <w:r>
        <w:rPr>
          <w:b/>
        </w:rPr>
        <w:t>Funding posture.</w:t>
      </w:r>
      <w:r>
        <w:t xml:space="preserve"> Does INL expect to co-apply for TCF or similar, and on what terms?</w:t>
      </w:r>
    </w:p>
    <w:p w14:paraId="36058C53" w14:textId="77777777" w:rsidR="00386C78" w:rsidRDefault="00000000">
      <w:pPr>
        <w:pStyle w:val="Heading1"/>
      </w:pPr>
      <w:r>
        <w:rPr>
          <w:color w:val="1F3964"/>
        </w:rPr>
        <w:lastRenderedPageBreak/>
        <w:t>8. Why INL should choose JE (proof points to land)</w:t>
      </w:r>
    </w:p>
    <w:p w14:paraId="0DE50A92" w14:textId="77777777" w:rsidR="00386C78" w:rsidRDefault="00000000">
      <w:pPr>
        <w:pStyle w:val="ListBullet"/>
      </w:pPr>
      <w:r>
        <w:rPr>
          <w:b/>
        </w:rPr>
        <w:t>Analysis-driven design:</w:t>
      </w:r>
      <w:r>
        <w:t xml:space="preserve"> our engineers run the thermal, structural, and fluid simulations before we cut metal, which is exactly what de-risks a scale-up.</w:t>
      </w:r>
    </w:p>
    <w:p w14:paraId="26D34248" w14:textId="77777777" w:rsidR="00386C78" w:rsidRDefault="00000000">
      <w:pPr>
        <w:pStyle w:val="ListBullet"/>
      </w:pPr>
      <w:r>
        <w:rPr>
          <w:b/>
        </w:rPr>
        <w:t>The engineers are the builders:</w:t>
      </w:r>
      <w:r>
        <w:t xml:space="preserve"> the same team models, analyzes, fabricates, procures, assembles, and tests. Fewer handoffs, faster TRL climb.</w:t>
      </w:r>
    </w:p>
    <w:p w14:paraId="11A28353" w14:textId="77777777" w:rsidR="00386C78" w:rsidRDefault="00000000">
      <w:pPr>
        <w:pStyle w:val="ListBullet"/>
      </w:pPr>
      <w:r>
        <w:rPr>
          <w:b/>
        </w:rPr>
        <w:t>FOAK track record:</w:t>
      </w:r>
      <w:r>
        <w:t xml:space="preserve"> 190+ first-of-a-kind projects, 25 for the US DOE [9].</w:t>
      </w:r>
    </w:p>
    <w:p w14:paraId="2294BF5A" w14:textId="77777777" w:rsidR="00386C78" w:rsidRDefault="00000000">
      <w:pPr>
        <w:pStyle w:val="ListBullet"/>
      </w:pPr>
      <w:r>
        <w:rPr>
          <w:b/>
        </w:rPr>
        <w:t>Leadership credibility:</w:t>
      </w:r>
      <w:r>
        <w:t xml:space="preserve"> Andy's 20+ years in advanced thermal and fluid systems, including 11 years at Parker Aerospace, speaks directly to the cell, loop, and thermal engineering this system needs [9].</w:t>
      </w:r>
    </w:p>
    <w:p w14:paraId="3F7D9C03" w14:textId="77777777" w:rsidR="00386C78" w:rsidRDefault="00000000">
      <w:pPr>
        <w:pStyle w:val="Heading1"/>
      </w:pPr>
      <w:r>
        <w:rPr>
          <w:color w:val="1F3964"/>
        </w:rPr>
        <w:t>9. Risks and how we frame them</w:t>
      </w:r>
    </w:p>
    <w:p w14:paraId="50D70165" w14:textId="77777777" w:rsidR="00386C78" w:rsidRDefault="00000000">
      <w:pPr>
        <w:pStyle w:val="ListBullet"/>
      </w:pPr>
      <w:r>
        <w:rPr>
          <w:b/>
        </w:rPr>
        <w:t>TRL 4 means lab-validated only</w:t>
      </w:r>
      <w:r>
        <w:t xml:space="preserve"> [2]; the economics at scale are unproven. We frame the engagement as a pilot build with a test campaign, not a turnkey plant. That is a feature, not a caveat: de-risking scale-up is our value.</w:t>
      </w:r>
    </w:p>
    <w:p w14:paraId="635D6584" w14:textId="77777777" w:rsidR="00386C78" w:rsidRDefault="00000000">
      <w:pPr>
        <w:pStyle w:val="ListBullet"/>
      </w:pPr>
      <w:r>
        <w:rPr>
          <w:b/>
        </w:rPr>
        <w:t>Chicken-and-egg:</w:t>
      </w:r>
      <w:r>
        <w:t xml:space="preserve"> the CRADA and most funding vehicles want a committed licensee [5][8]. We should identify the client now. Critical Materials Recycling (Boone, IA) is the natural first call given the shared lineage; Intel-E-Waste and American Elements are alternates [8].</w:t>
      </w:r>
    </w:p>
    <w:p w14:paraId="110C7364" w14:textId="77777777" w:rsidR="00386C78" w:rsidRDefault="00000000">
      <w:pPr>
        <w:pStyle w:val="ListBullet"/>
      </w:pPr>
      <w:r>
        <w:rPr>
          <w:b/>
        </w:rPr>
        <w:t>Keep this thread clean and separate from MARVEL.</w:t>
      </w:r>
      <w:r>
        <w:t xml:space="preserve"> This battery-recovery play is non-nuclear and carries no compliance gate. MARVEL (microreactor) is a separate, Andy-gated conversation. Do not let the two blur in an INL meeting.</w:t>
      </w:r>
    </w:p>
    <w:p w14:paraId="25B36F2A" w14:textId="77777777" w:rsidR="00386C78" w:rsidRDefault="00000000">
      <w:pPr>
        <w:pStyle w:val="Heading1"/>
      </w:pPr>
      <w:r>
        <w:rPr>
          <w:color w:val="1F3964"/>
        </w:rPr>
        <w:t>10. Meeting objectives and next steps</w:t>
      </w:r>
    </w:p>
    <w:p w14:paraId="6FBC5BB2" w14:textId="77777777" w:rsidR="00386C78" w:rsidRDefault="00000000">
      <w:r>
        <w:t>Three objectives, in priority order:</w:t>
      </w:r>
    </w:p>
    <w:p w14:paraId="2816B9C5" w14:textId="77777777" w:rsidR="00386C78" w:rsidRDefault="00000000">
      <w:pPr>
        <w:pStyle w:val="ListNumber"/>
      </w:pPr>
      <w:r>
        <w:t>Confirm the IP is available, and learn the exclusivity and field-of-use options.</w:t>
      </w:r>
    </w:p>
    <w:p w14:paraId="0AE18905" w14:textId="77777777" w:rsidR="00386C78" w:rsidRDefault="00000000">
      <w:pPr>
        <w:pStyle w:val="ListNumber"/>
      </w:pPr>
      <w:r>
        <w:t>Secure a technical deep-dive with the inventors and a sample set of license terms.</w:t>
      </w:r>
    </w:p>
    <w:p w14:paraId="09523F1D" w14:textId="77777777" w:rsidR="00386C78" w:rsidRDefault="00000000">
      <w:pPr>
        <w:pStyle w:val="ListNumber"/>
      </w:pPr>
      <w:r>
        <w:t>Float the CRADA-with-JE-as-builder structure, and signal that JE will bring a licensee client.</w:t>
      </w:r>
    </w:p>
    <w:p w14:paraId="334BFB26" w14:textId="77777777" w:rsidR="00386C78" w:rsidRDefault="00000000">
      <w:r>
        <w:t>Leave the meeting with a named next action and an INL owner. Immediately after, brief Andy on availability and exclusivity, and open the client conversation (CMR first).</w:t>
      </w:r>
    </w:p>
    <w:p w14:paraId="04EEC2D1" w14:textId="77777777" w:rsidR="00386C78" w:rsidRDefault="00000000">
      <w:pPr>
        <w:pStyle w:val="Heading1"/>
      </w:pPr>
      <w:r>
        <w:rPr>
          <w:color w:val="1F3964"/>
        </w:rPr>
        <w:t>Appendix A: Verified contacts (2026-07-24)</w:t>
      </w:r>
    </w:p>
    <w:p w14:paraId="56B46F84" w14:textId="77777777" w:rsidR="00386C78" w:rsidRDefault="00000000">
      <w:pPr>
        <w:pStyle w:val="ListBullet"/>
      </w:pPr>
      <w:r>
        <w:rPr>
          <w:b/>
        </w:rPr>
        <w:t>Ryan Bills</w:t>
      </w:r>
      <w:r>
        <w:t>, Energy &amp; Environment S&amp;T commercialization manager: ryan.bills@inl.gov, 208-526-1896 (primary for this tech) [4].</w:t>
      </w:r>
    </w:p>
    <w:p w14:paraId="6326FF81" w14:textId="77777777" w:rsidR="00386C78" w:rsidRDefault="00000000">
      <w:pPr>
        <w:pStyle w:val="ListBullet"/>
      </w:pPr>
      <w:r>
        <w:rPr>
          <w:b/>
        </w:rPr>
        <w:t>Jason Stolworthy</w:t>
      </w:r>
      <w:r>
        <w:t>, Director of Technology Deployment / commercial licensing: TD@inl.gov, 208-526-3437 [4][5].</w:t>
      </w:r>
    </w:p>
    <w:p w14:paraId="6A24EEEC" w14:textId="77777777" w:rsidR="00386C78" w:rsidRDefault="00000000">
      <w:pPr>
        <w:pStyle w:val="ListBullet"/>
      </w:pPr>
      <w:r>
        <w:rPr>
          <w:b/>
        </w:rPr>
        <w:t>Stefanie Johnston</w:t>
      </w:r>
      <w:r>
        <w:t>, CRADA / SPP / user-facility agreements: Stefanie.Johnston@inl.gov, 208-526-5063 [5].</w:t>
      </w:r>
    </w:p>
    <w:p w14:paraId="25EEC5A1" w14:textId="77777777" w:rsidR="00386C78" w:rsidRDefault="00000000">
      <w:pPr>
        <w:pStyle w:val="ListBullet"/>
      </w:pPr>
      <w:r>
        <w:rPr>
          <w:b/>
        </w:rPr>
        <w:lastRenderedPageBreak/>
        <w:t>Chase Egbert</w:t>
      </w:r>
      <w:r>
        <w:t>, small-business supplier procurement: chase.egbert@inl.gov, 208-526-8564 [5].</w:t>
      </w:r>
    </w:p>
    <w:p w14:paraId="5420688F" w14:textId="77777777" w:rsidR="00386C78" w:rsidRDefault="00000000">
      <w:pPr>
        <w:pStyle w:val="ListBullet"/>
      </w:pPr>
      <w:r>
        <w:t>INL licensing process target: nonexclusive license within ~90 days of term negotiation; INL has executed 2,250+ licenses since 2004 [4][9].</w:t>
      </w:r>
    </w:p>
    <w:p w14:paraId="7A582331" w14:textId="77777777" w:rsidR="00386C78" w:rsidRDefault="00000000">
      <w:pPr>
        <w:pStyle w:val="Heading1"/>
      </w:pPr>
      <w:r>
        <w:rPr>
          <w:color w:val="1F3964"/>
        </w:rPr>
        <w:t>Sources</w:t>
      </w:r>
    </w:p>
    <w:p w14:paraId="224B0890" w14:textId="77777777" w:rsidR="00386C78" w:rsidRDefault="00000000">
      <w:pPr>
        <w:pStyle w:val="ListNumber"/>
      </w:pPr>
      <w:r>
        <w:t>US Patent 12,388,123 B2, "Methods of recovering active materials from rechargeable batteries, and related apparatuses" (EC-Leach). Google Patents, verified 2026-07-24: assignee Battelle Energy Alliance, granted 2025-08-12, est. expiry ~2042, inventors Diaz Aldana / Lister / Klaehn / McNally / Reed, only a DOE confirmatory license on record. https://patents.google.com/patent/US12388123B2</w:t>
      </w:r>
    </w:p>
    <w:p w14:paraId="3394363C" w14:textId="77777777" w:rsidR="00386C78" w:rsidRDefault="00000000">
      <w:pPr>
        <w:pStyle w:val="ListNumber"/>
      </w:pPr>
      <w:r>
        <w:t>INL, "Electrochemical Membrane Reactor for Li-ion Battery Recycling," Lab Partnering Service technology summary (verified 2026-07-24; page JS-rendered, key facts corroborated by [3]): TRL 4, PCT/US22/72109, offered for license and/or CRADA. https://labpartnering.org/technology-summaries/fe40744b-2d6e-4ba3-a5fc-a2f0c00b60f0</w:t>
      </w:r>
    </w:p>
    <w:p w14:paraId="57F15EEE" w14:textId="77777777" w:rsidR="00386C78" w:rsidRDefault="00000000">
      <w:pPr>
        <w:pStyle w:val="ListNumber"/>
      </w:pPr>
      <w:r>
        <w:t>INL, "Idaho researchers advance critical materials recycling technologies" (feature story, verified 2026-07-24): &gt;95% Ni/Co recovery using water, air, and electricity; acid regeneration; EC-Leach. https://inl.gov/feature-story/idaho-researchers-advance-critical-materials-recycling-technologies/</w:t>
      </w:r>
    </w:p>
    <w:p w14:paraId="61D3C712" w14:textId="77777777" w:rsidR="00386C78" w:rsidRDefault="00000000">
      <w:pPr>
        <w:pStyle w:val="ListNumber"/>
      </w:pPr>
      <w:r>
        <w:t>INL "Licensing Process" one-pager (context/INL Licensing Process.pdf): 7-step process, ~90-day nonexclusive target, DOE operating-contract nonnegotiables, commercialization managers by area (Ryan Bills, Jason Stolworthy).</w:t>
      </w:r>
    </w:p>
    <w:p w14:paraId="1488EBFD" w14:textId="77777777" w:rsidR="00386C78" w:rsidRDefault="00000000">
      <w:pPr>
        <w:pStyle w:val="ListNumber"/>
      </w:pPr>
      <w:r>
        <w:t>INL "Ways to Do Business with INL" one-pager (context/ways-to-do-business-with-inl.pdf): CRADA / SPP / ACT / TAP / license mechanisms and US-competitiveness terms; contacts (Stefanie Johnston CRADA; Chase Egbert procurement).</w:t>
      </w:r>
    </w:p>
    <w:p w14:paraId="63D1F258" w14:textId="77777777" w:rsidR="00386C78" w:rsidRDefault="00000000">
      <w:pPr>
        <w:pStyle w:val="ListNumber"/>
      </w:pPr>
      <w:r>
        <w:t>INL FY-2024 Economic Impact Summary (context/2024-inl-economic-impact-summary.pdf): approximately $1.0B in goods-and-services procurement in FY24 (context for scale).</w:t>
      </w:r>
    </w:p>
    <w:p w14:paraId="084B04F8" w14:textId="77777777" w:rsidR="00386C78" w:rsidRDefault="00000000">
      <w:pPr>
        <w:pStyle w:val="ListNumber"/>
      </w:pPr>
      <w:r>
        <w:t>INL Partnership Opportunities table (context/INL Partnership Opportunities table.pdf): DOE OTT Technology Commercialization Fund, approximately $20M, matches private-partner funds to mature national-lab energy IP.</w:t>
      </w:r>
    </w:p>
    <w:p w14:paraId="410A6041" w14:textId="77777777" w:rsidR="00386C78" w:rsidRDefault="00000000">
      <w:pPr>
        <w:pStyle w:val="ListNumber"/>
      </w:pPr>
      <w:r>
        <w:t>JE funding-opportunities-pipeline skill, references/funding-sources.md (internal): ARPA-E SCALEUP rolling and licensee-eligible; American-Made Re-X ($4.5M) and E-Scrap ($4M); Ames to TdVib to Critical Materials Recycling template; account clusters (CMR, Intel-E-Waste, American Elements).</w:t>
      </w:r>
    </w:p>
    <w:p w14:paraId="461B865D" w14:textId="77777777" w:rsidR="00386C78" w:rsidRDefault="00000000">
      <w:pPr>
        <w:pStyle w:val="ListNumber"/>
      </w:pPr>
      <w:r>
        <w:t>INL Technology Deployment (inl.gov/technology-deployment, verified 2026-07-24): 2,250+ licenses since 2004. JE company facts and Andy Johnston bio per CLAUDE.md project record.</w:t>
      </w:r>
    </w:p>
    <w:sectPr w:rsidR="00386C7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E6D7F" w14:textId="77777777" w:rsidR="00EF16B0" w:rsidRDefault="00EF16B0">
      <w:pPr>
        <w:spacing w:after="0" w:line="240" w:lineRule="auto"/>
      </w:pPr>
      <w:r>
        <w:separator/>
      </w:r>
    </w:p>
  </w:endnote>
  <w:endnote w:type="continuationSeparator" w:id="0">
    <w:p w14:paraId="7D3FF7B7" w14:textId="77777777" w:rsidR="00EF16B0" w:rsidRDefault="00EF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0D47" w14:textId="51EC8C7D" w:rsidR="00386C78" w:rsidRDefault="00000000">
    <w:pPr>
      <w:pStyle w:val="Footer"/>
      <w:jc w:val="center"/>
    </w:pPr>
    <w:r>
      <w:rPr>
        <w:sz w:val="16"/>
      </w:rPr>
      <w:t xml:space="preserve">Confidential and Internal to Johnston Engineering, PLLC   |   Page </w:t>
    </w:r>
    <w:r>
      <w:rPr>
        <w:sz w:val="16"/>
      </w:rPr>
      <w:fldChar w:fldCharType="begin"/>
    </w:r>
    <w:r>
      <w:rPr>
        <w:sz w:val="16"/>
      </w:rPr>
      <w:instrText>PAGE</w:instrText>
    </w:r>
    <w:r w:rsidR="00347EED">
      <w:rPr>
        <w:sz w:val="16"/>
      </w:rPr>
      <w:fldChar w:fldCharType="separate"/>
    </w:r>
    <w:r w:rsidR="00347EE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BBE2" w14:textId="77777777" w:rsidR="00EF16B0" w:rsidRDefault="00EF16B0">
      <w:pPr>
        <w:spacing w:after="0" w:line="240" w:lineRule="auto"/>
      </w:pPr>
      <w:r>
        <w:separator/>
      </w:r>
    </w:p>
  </w:footnote>
  <w:footnote w:type="continuationSeparator" w:id="0">
    <w:p w14:paraId="23180750" w14:textId="77777777" w:rsidR="00EF16B0" w:rsidRDefault="00EF1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325478">
    <w:abstractNumId w:val="8"/>
  </w:num>
  <w:num w:numId="2" w16cid:durableId="788743029">
    <w:abstractNumId w:val="6"/>
  </w:num>
  <w:num w:numId="3" w16cid:durableId="141779971">
    <w:abstractNumId w:val="5"/>
  </w:num>
  <w:num w:numId="4" w16cid:durableId="1551921897">
    <w:abstractNumId w:val="4"/>
  </w:num>
  <w:num w:numId="5" w16cid:durableId="1673870734">
    <w:abstractNumId w:val="7"/>
  </w:num>
  <w:num w:numId="6" w16cid:durableId="1059784179">
    <w:abstractNumId w:val="3"/>
  </w:num>
  <w:num w:numId="7" w16cid:durableId="1642419736">
    <w:abstractNumId w:val="2"/>
  </w:num>
  <w:num w:numId="8" w16cid:durableId="2102557929">
    <w:abstractNumId w:val="1"/>
  </w:num>
  <w:num w:numId="9" w16cid:durableId="27413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EED"/>
    <w:rsid w:val="00386C78"/>
    <w:rsid w:val="009463AB"/>
    <w:rsid w:val="00AA1D8D"/>
    <w:rsid w:val="00B47730"/>
    <w:rsid w:val="00CB0664"/>
    <w:rsid w:val="00EF16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6ED8CB-414B-4EC6-BBF2-C570F784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1690</Words>
  <Characters>10299</Characters>
  <Application>Microsoft Office Word</Application>
  <DocSecurity>0</DocSecurity>
  <Lines>166</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Riley Jackson</cp:lastModifiedBy>
  <cp:revision>2</cp:revision>
  <dcterms:created xsi:type="dcterms:W3CDTF">2013-12-23T23:15:00Z</dcterms:created>
  <dcterms:modified xsi:type="dcterms:W3CDTF">2026-07-24T18:12:00Z</dcterms:modified>
  <cp:category/>
</cp:coreProperties>
</file>