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AF3EB" w14:textId="0C175085" w:rsidR="00140885" w:rsidRDefault="002A5A81" w:rsidP="002A5A81">
      <w:pPr>
        <w:pStyle w:val="Title"/>
      </w:pPr>
      <w:r w:rsidRPr="002A5A81">
        <w:t>The People of the Nuclear Fuel Cycle</w:t>
      </w:r>
    </w:p>
    <w:p w14:paraId="60799EA6" w14:textId="7D47E796" w:rsidR="002A5A81" w:rsidRPr="00CB24F4" w:rsidRDefault="002A5A81" w:rsidP="002A5A81">
      <w:pPr>
        <w:pStyle w:val="Subtitle"/>
        <w:rPr>
          <w:sz w:val="24"/>
          <w:szCs w:val="22"/>
        </w:rPr>
      </w:pPr>
      <w:r w:rsidRPr="00CB24F4">
        <w:rPr>
          <w:sz w:val="24"/>
          <w:szCs w:val="22"/>
        </w:rPr>
        <w:t>A Demographic Analysis of Nuclear Sites in the United States</w:t>
      </w:r>
    </w:p>
    <w:p w14:paraId="4199EC79" w14:textId="6F61975A" w:rsidR="002A5A81" w:rsidRPr="00CB24F4" w:rsidRDefault="002A5A81" w:rsidP="00CB24F4">
      <w:pPr>
        <w:pStyle w:val="Authors"/>
      </w:pPr>
      <w:r w:rsidRPr="00CB24F4">
        <w:t>Riley J Fisher, Aditi Verma</w:t>
      </w:r>
    </w:p>
    <w:p w14:paraId="2E3ADA80" w14:textId="77777777" w:rsidR="002A5A81" w:rsidRDefault="002A5A81" w:rsidP="002A5A81"/>
    <w:p w14:paraId="18A734B9" w14:textId="61F46A7D" w:rsidR="002A5A81" w:rsidRDefault="002A5A81" w:rsidP="00465DFD">
      <w:pPr>
        <w:pStyle w:val="SummaryHeading"/>
      </w:pPr>
      <w:r w:rsidRPr="00465DFD">
        <w:t>Summary</w:t>
      </w:r>
    </w:p>
    <w:p w14:paraId="09324ECF" w14:textId="77777777" w:rsidR="0078432C" w:rsidRDefault="0078432C" w:rsidP="00465DFD">
      <w:pPr>
        <w:pStyle w:val="SummaryHeading"/>
      </w:pPr>
    </w:p>
    <w:p w14:paraId="07AF9A87" w14:textId="302613B5" w:rsidR="0078432C" w:rsidRDefault="0078432C" w:rsidP="00465DFD">
      <w:pPr>
        <w:pStyle w:val="SummaryHeading"/>
      </w:pPr>
      <w:r>
        <w:t>Editing Key</w:t>
      </w:r>
    </w:p>
    <w:p w14:paraId="7C01561D" w14:textId="3CEFE8EA" w:rsidR="0078432C" w:rsidRDefault="0078432C" w:rsidP="0078432C">
      <w:r w:rsidRPr="0078432C">
        <w:rPr>
          <w:highlight w:val="yellow"/>
        </w:rPr>
        <w:t>Highlight</w:t>
      </w:r>
      <w:r>
        <w:t xml:space="preserve"> – Data referenced may change over time; double check everything</w:t>
      </w:r>
    </w:p>
    <w:p w14:paraId="762FFBDA" w14:textId="18A41468" w:rsidR="0078432C" w:rsidRPr="0078432C" w:rsidRDefault="0078432C" w:rsidP="0078432C">
      <w:r>
        <w:rPr>
          <w:b/>
          <w:bCs/>
          <w:i/>
          <w:iCs/>
          <w:u w:val="single"/>
        </w:rPr>
        <w:t>Accent</w:t>
      </w:r>
      <w:r>
        <w:t xml:space="preserve"> – notes to myself</w:t>
      </w:r>
    </w:p>
    <w:p w14:paraId="28B40C76" w14:textId="7FE7BB03" w:rsidR="0078432C" w:rsidRDefault="0078432C" w:rsidP="0078432C">
      <w:r w:rsidRPr="0078432C">
        <w:rPr>
          <w:rStyle w:val="Cross-ReferenceChar"/>
        </w:rPr>
        <w:t>Cross</w:t>
      </w:r>
      <w:r>
        <w:rPr>
          <w:rStyle w:val="Cross-ReferenceChar"/>
        </w:rPr>
        <w:t>-</w:t>
      </w:r>
      <w:r w:rsidRPr="0078432C">
        <w:rPr>
          <w:rStyle w:val="Cross-ReferenceChar"/>
        </w:rPr>
        <w:t>reference</w:t>
      </w:r>
      <w:r>
        <w:t xml:space="preserve"> – all figure, table, and section references</w:t>
      </w:r>
    </w:p>
    <w:p w14:paraId="028C86F6" w14:textId="1FBF77A6" w:rsidR="0078432C" w:rsidRDefault="0078432C" w:rsidP="0078432C">
      <w:r w:rsidRPr="0078432C">
        <w:rPr>
          <w:rStyle w:val="CitationChar"/>
        </w:rPr>
        <w:t>Citation</w:t>
      </w:r>
      <w:r>
        <w:t xml:space="preserve"> </w:t>
      </w:r>
      <w:r w:rsidRPr="0078432C">
        <w:t>– all external references</w:t>
      </w:r>
    </w:p>
    <w:p w14:paraId="3DD6450C" w14:textId="5B8A8093" w:rsidR="00163171" w:rsidRPr="0078432C" w:rsidRDefault="00163171" w:rsidP="0078432C"/>
    <w:p w14:paraId="196631E7" w14:textId="77777777" w:rsidR="002A5A81" w:rsidRPr="002A5A81" w:rsidRDefault="002A5A81" w:rsidP="002A5A81">
      <w:pPr>
        <w:rPr>
          <w:b/>
          <w:bCs/>
        </w:rPr>
      </w:pPr>
    </w:p>
    <w:p w14:paraId="2ACFE69C" w14:textId="77777777" w:rsidR="00CB24F4" w:rsidRDefault="00CB24F4">
      <w:pPr>
        <w:rPr>
          <w:b/>
          <w:bCs/>
          <w:sz w:val="28"/>
          <w:szCs w:val="24"/>
        </w:rPr>
      </w:pPr>
      <w:r>
        <w:br w:type="page"/>
      </w:r>
    </w:p>
    <w:p w14:paraId="16C75F87" w14:textId="764B3302" w:rsidR="00CB24F4" w:rsidRDefault="002A5A81" w:rsidP="00CB24F4">
      <w:pPr>
        <w:pStyle w:val="Parts"/>
      </w:pPr>
      <w:r w:rsidRPr="00CB24F4">
        <w:lastRenderedPageBreak/>
        <w:t>Part 1</w:t>
      </w:r>
      <w:r w:rsidR="00CB24F4">
        <w:t xml:space="preserve"> —</w:t>
      </w:r>
      <w:r w:rsidRPr="00CB24F4">
        <w:t xml:space="preserve"> Introduction and Theoretical Background</w:t>
      </w:r>
    </w:p>
    <w:p w14:paraId="626736CF" w14:textId="57F9B03A" w:rsidR="00AC5741" w:rsidRPr="00AC5741" w:rsidRDefault="00CB24F4" w:rsidP="00933B2C">
      <w:pPr>
        <w:pStyle w:val="Heading1"/>
      </w:pPr>
      <w:r w:rsidRPr="00465DFD">
        <w:t>Introduction</w:t>
      </w:r>
    </w:p>
    <w:p w14:paraId="3C70549C" w14:textId="34D8D7F4" w:rsidR="00CB24F4" w:rsidRDefault="00CB24F4" w:rsidP="00465DFD">
      <w:pPr>
        <w:pStyle w:val="Heading1"/>
      </w:pPr>
      <w:r>
        <w:t>Background</w:t>
      </w:r>
    </w:p>
    <w:p w14:paraId="1DF0BA95" w14:textId="1BBD321A" w:rsidR="00CB24F4" w:rsidRDefault="00CB24F4" w:rsidP="00CB24F4">
      <w:pPr>
        <w:pStyle w:val="Heading2"/>
      </w:pPr>
      <w:bookmarkStart w:id="0" w:name="_Ref220346055"/>
      <w:r w:rsidRPr="00CB24F4">
        <w:t>Case Studies in the American Fuel Cycle</w:t>
      </w:r>
      <w:bookmarkEnd w:id="0"/>
    </w:p>
    <w:p w14:paraId="62A47E56" w14:textId="3135EC31" w:rsidR="00AC5741" w:rsidRDefault="00CB24F4" w:rsidP="00AC5741">
      <w:r w:rsidRPr="00CB24F4">
        <w:t xml:space="preserve">Nuclear technology </w:t>
      </w:r>
      <w:r>
        <w:t>has historically received</w:t>
      </w:r>
      <w:r w:rsidRPr="00CB24F4">
        <w:t xml:space="preserve"> great attention from the realms of social science. Numerous works, such as </w:t>
      </w:r>
      <w:r w:rsidRPr="00853887">
        <w:rPr>
          <w:rStyle w:val="CitationChar"/>
        </w:rPr>
        <w:fldChar w:fldCharType="begin"/>
      </w:r>
      <w:r w:rsidRPr="00853887">
        <w:rPr>
          <w:rStyle w:val="CitationChar"/>
        </w:rPr>
        <w:instrText xml:space="preserve"> ADDIN ZOTERO_ITEM CSL_CITATION {"citationID":"Cqj2dTlr","properties":{"formattedCitation":"[1]","plainCitation":"[1]","noteIndex":0},"citationItems":[{"id":24624,"uris":["http://zotero.org/users/13422981/items/XSQ8QNQZ"],"itemData":{"id":24624,"type":"book","citation-key":"Hecht_2014","ISBN":"978-0-262-30067-4","language":"eng","note":"OCLC: 1124432084","publisher":"The MIT Press","publisher-place":"Cambridge","source":"Open WorldCat","title":"Being nuclear: Africans and the global uranium trade","title-short":"Being nuclear","author":[{"family":"Hecht","given":"Gabrielle"}],"issued":{"date-parts":[["2014"]]}}}],"schema":"https://github.com/citation-style-language/schema/raw/master/csl-citation.json"} </w:instrText>
      </w:r>
      <w:r w:rsidRPr="00853887">
        <w:rPr>
          <w:rStyle w:val="CitationChar"/>
        </w:rPr>
        <w:fldChar w:fldCharType="separate"/>
      </w:r>
      <w:r w:rsidRPr="00853887">
        <w:rPr>
          <w:rStyle w:val="CitationChar"/>
        </w:rPr>
        <w:t>[1]</w:t>
      </w:r>
      <w:r w:rsidRPr="00853887">
        <w:rPr>
          <w:rStyle w:val="CitationChar"/>
        </w:rPr>
        <w:fldChar w:fldCharType="end"/>
      </w:r>
      <w:r>
        <w:t xml:space="preserve"> </w:t>
      </w:r>
      <w:r w:rsidRPr="00CB24F4">
        <w:t xml:space="preserve">and </w:t>
      </w:r>
      <w:r w:rsidRPr="00853887">
        <w:rPr>
          <w:rStyle w:val="CitationChar"/>
        </w:rPr>
        <w:fldChar w:fldCharType="begin"/>
      </w:r>
      <w:r w:rsidRPr="00853887">
        <w:rPr>
          <w:rStyle w:val="CitationChar"/>
        </w:rPr>
        <w:instrText xml:space="preserve"> ADDIN ZOTERO_ITEM CSL_CITATION {"citationID":"YLCpa3QL","properties":{"formattedCitation":"[2]","plainCitation":"[2]","noteIndex":0},"citationItems":[{"id":19834,"uris":["http://zotero.org/users/13422981/items/Y55BXMLE"],"itemData":{"id":19834,"type":"book","citation-key":"Winner_2001","edition":"Nachdr.","ISBN":"978-0-226-90211-1","language":"en","number-of-pages":"200","publisher":"Univ. of Chicago Press","publisher-place":"Chicago","source":"K10plus ISBN","title":"The whale and the reactor: a search for limits in an age of high technology","title-short":"The whale and the reactor","author":[{"family":"Winner","given":"Langdon"}],"issued":{"date-parts":[["2001"]]}}}],"schema":"https://github.com/citation-style-language/schema/raw/master/csl-citation.json"} </w:instrText>
      </w:r>
      <w:r w:rsidRPr="00853887">
        <w:rPr>
          <w:rStyle w:val="CitationChar"/>
        </w:rPr>
        <w:fldChar w:fldCharType="separate"/>
      </w:r>
      <w:r w:rsidRPr="00853887">
        <w:rPr>
          <w:rStyle w:val="CitationChar"/>
        </w:rPr>
        <w:t>[2]</w:t>
      </w:r>
      <w:r w:rsidRPr="00853887">
        <w:rPr>
          <w:rStyle w:val="CitationChar"/>
        </w:rPr>
        <w:fldChar w:fldCharType="end"/>
      </w:r>
      <w:r w:rsidRPr="00CB24F4">
        <w:t xml:space="preserve">, have brought into question the socio-political systems necessary to support the nuclear establishment as a whole. From these critical inquiries, a small class of qualitative research was created to study the interactions between the nuclear industry and the society in which it operates. This body of research is primarily formed from a collection of case studies in which communities were characterized in the context of a nearby fuel cycle facility. In a 2024 article, Meyer </w:t>
      </w:r>
      <w:r>
        <w:t>&amp;</w:t>
      </w:r>
      <w:r w:rsidRPr="00CB24F4">
        <w:t xml:space="preserve"> </w:t>
      </w:r>
      <w:proofErr w:type="spellStart"/>
      <w:r w:rsidRPr="00CB24F4">
        <w:t>S</w:t>
      </w:r>
      <w:r w:rsidR="0063255A">
        <w:rPr>
          <w:rFonts w:cs="Times New Roman"/>
        </w:rPr>
        <w:t>é</w:t>
      </w:r>
      <w:r w:rsidRPr="00CB24F4">
        <w:t>randour</w:t>
      </w:r>
      <w:proofErr w:type="spellEnd"/>
      <w:r w:rsidRPr="00CB24F4">
        <w:t xml:space="preserve"> surveyed the existing literature on international nuclear/community case studies and identified 205 such cases, 72 of which focus on facilities in the US </w:t>
      </w:r>
      <w:r w:rsidRPr="00853887">
        <w:rPr>
          <w:rStyle w:val="CitationChar"/>
        </w:rPr>
        <w:fldChar w:fldCharType="begin"/>
      </w:r>
      <w:r w:rsidRPr="00853887">
        <w:rPr>
          <w:rStyle w:val="CitationChar"/>
        </w:rPr>
        <w:instrText xml:space="preserve"> ADDIN ZOTERO_ITEM CSL_CITATION {"citationID":"fv1cJAbq","properties":{"formattedCitation":"[3]","plainCitation":"[3]","noteIndex":0},"citationItems":[{"id":24613,"uris":["http://zotero.org/users/13422981/items/67TK8FW5"],"itemData":{"id":24613,"type":"article-journal","abstract":"The revival of interest in nuclear power since 2022 relies on multiple spatial promises, such as expanding nuclear energy to unequipped countries or developing new types of reactors for isolated and remote communities. Researchers delved into the interactions between space and the nuclear technologies since the early 1950s. However, we still lack a comprehensive review of this literature. To fill these gaps, we conducted a comprehensive and systematic review of 205 papers, using a mixed methods design. We target three objectives: identifying potential biases in the methods applied and in the chosen case studies, discussing the scientific agendas that motivate these research, and distinguishing the characteristics of nuclear/space interactions. Results indicate the existence of thematic and geographic blind spots in the literature. Researchers have focused on a reduce number of highly visible and deeply politicized sites. These works also overemphasized European and North American countries, thus invisiblizing the role of the ‘global south’ in sustaining this industry. Using bibliometric data, we demonstrate that the community of scholars working on the spatial dimensions of nuclear power remains fragmented. We identified seven scientific agendas motivating research on nuclear/space relations. Results also highlight eight features in the literature, defining nuclear places as space of managed secrecy, uncertainty, strategic resources, spectacularization, containment, scale collision, coloniality and (inter)dependent communities. Finally, we argue that future research will need to rely on more provincialized approaches and suggest potential avenues for future works.","citation-key":"MeyerSerandour_2024","container-title":"Energy Research &amp; Social Science","DOI":"10.1016/j.erss.2024.103611","ISSN":"22146296","journalAbbreviation":"Energy Research &amp; Social Science","language":"en","page":"103611","source":"DOI.org (Crossref)","title":"Placing the intangible: Space, nuclear power and social sciences","title-short":"Placing the intangible","volume":"115","author":[{"family":"Meyer","given":"Teva"},{"family":"Sérandour","given":"Audrey"}],"issued":{"date-parts":[["2024",9]]}}}],"schema":"https://github.com/citation-style-language/schema/raw/master/csl-citation.json"} </w:instrText>
      </w:r>
      <w:r w:rsidRPr="00853887">
        <w:rPr>
          <w:rStyle w:val="CitationChar"/>
        </w:rPr>
        <w:fldChar w:fldCharType="separate"/>
      </w:r>
      <w:r w:rsidRPr="00853887">
        <w:rPr>
          <w:rStyle w:val="CitationChar"/>
        </w:rPr>
        <w:t>[3]</w:t>
      </w:r>
      <w:r w:rsidRPr="00853887">
        <w:rPr>
          <w:rStyle w:val="CitationChar"/>
        </w:rPr>
        <w:fldChar w:fldCharType="end"/>
      </w:r>
      <w:r w:rsidRPr="00CB24F4">
        <w:t>. The authors also report that, of the 205 cases, 48.3% of the studies analyzed power plants, 17.0% analyzed high-level waste disposal, and 8.5% analyzed uranium mines. Another 19.3% of cases focused on weapons production and testing, while only 2.3% focused on the remainder of the fuel cycle. Though a small body of research (for cases in the US, roughly 35 were on power reactors, 12 on HLW, 6 on mines, and 2 on other fuel cycle processes), this corpus serves as the basis for claims of injustice and inequality across the fuel cycle. Although the goal of this paper is not to synthesize every case study of the US NFC, it is necessary to highlight some of the most notable cases to show generally what conclusions the existing evidence supports</w:t>
      </w:r>
      <w:r w:rsidR="0063255A">
        <w:rPr>
          <w:rStyle w:val="FootnoteReference"/>
        </w:rPr>
        <w:footnoteReference w:id="1"/>
      </w:r>
      <w:r w:rsidR="0063255A">
        <w:t>.</w:t>
      </w:r>
    </w:p>
    <w:p w14:paraId="4F9EEDAE" w14:textId="16516515" w:rsidR="001C6AC7" w:rsidRDefault="001C6AC7" w:rsidP="00AC5741">
      <w:r w:rsidRPr="001C6AC7">
        <w:t xml:space="preserve">While precise details are largely lost to history (e.g. total contamination/illnesses/deaths), the interactions between Native American communities and the front-end of the fuel cycle are well documented. In regard to uranium mining, one of the most extreme examples of such interactions involves the Navajo Nation </w:t>
      </w:r>
      <w:r w:rsidRPr="0078432C">
        <w:rPr>
          <w:rStyle w:val="CitationChar"/>
        </w:rPr>
        <w:fldChar w:fldCharType="begin"/>
      </w:r>
      <w:r w:rsidRPr="0078432C">
        <w:rPr>
          <w:rStyle w:val="CitationChar"/>
        </w:rPr>
        <w:instrText xml:space="preserve"> ADDIN ZOTERO_ITEM CSL_CITATION {"citationID":"5MzO2KeH","properties":{"formattedCitation":"[4]","plainCitation":"[4]","noteIndex":0},"citationItems":[{"id":24630,"uris":["http://zotero.org/users/13422981/items/SU32D6L3"],"itemData":{"id":24630,"type":"book","citation-key":"Brugge_2006","edition":"Nachdr.","ISBN":"978-0-8263-3779-5","language":"eng","number-of-pages":"210","publisher":"Univ. of New Mexico Pr","publisher-place":"Albuquerque","source":"K10plus ISBN","title":"The Navajo people and uranium mining","editor":[{"family":"Brugge","given":"Doug"}],"issued":{"date-parts":[["2006"]]}}}],"schema":"https://github.com/citation-style-language/schema/raw/master/csl-citation.json"} </w:instrText>
      </w:r>
      <w:r w:rsidRPr="0078432C">
        <w:rPr>
          <w:rStyle w:val="CitationChar"/>
        </w:rPr>
        <w:fldChar w:fldCharType="separate"/>
      </w:r>
      <w:r w:rsidRPr="0078432C">
        <w:rPr>
          <w:rStyle w:val="CitationChar"/>
        </w:rPr>
        <w:t>[4]</w:t>
      </w:r>
      <w:r w:rsidRPr="0078432C">
        <w:rPr>
          <w:rStyle w:val="CitationChar"/>
        </w:rPr>
        <w:fldChar w:fldCharType="end"/>
      </w:r>
      <w:r>
        <w:t xml:space="preserve">, </w:t>
      </w:r>
      <w:r w:rsidRPr="0078432C">
        <w:rPr>
          <w:rStyle w:val="CitationChar"/>
        </w:rPr>
        <w:fldChar w:fldCharType="begin"/>
      </w:r>
      <w:r w:rsidR="00976999" w:rsidRPr="0078432C">
        <w:rPr>
          <w:rStyle w:val="CitationChar"/>
        </w:rPr>
        <w:instrText xml:space="preserve"> ADDIN ZOTERO_ITEM CSL_CITATION {"citationID":"wN1t86jL","properties":{"formattedCitation":"[5]","plainCitation":"[5]","noteIndex":0},"citationItems":[{"id":19796,"uris":["http://zotero.org/users/13422981/items/YG386UXX"],"itemData":{"id":19796,"type":"article-journal","abstract":"Purpose of Review More than a century of hard rock mining has left a legacy of &gt;160,000 abandoned mines in the Western USA that are home to the majority of Native American lands. This article describes how abrogation of treaty rights, ineffective policies, lack of infrastructure, and a lack of research in Native communities converge to create chronic exposure, illdefined risks, and tribal health concerns.","citation-key":"lewisMiningEnvironmentalHealth2017","container-title":"Current Environmental Health Reports","DOI":"10.1007/s40572-017-0140-5","ISSN":"2196-5412","issue":"2","journalAbbreviation":"Curr Envir Health Rpt","language":"en","page":"130-141","source":"DOI.org (Crossref)","title":"Mining and Environmental Health Disparities in Native American Communities","volume":"4","author":[{"family":"Lewis","given":"Johnnye"},{"family":"Hoover","given":"Joseph"},{"family":"MacKenzie","given":"Debra"}],"issued":{"date-parts":[["2017",6]]}}}],"schema":"https://github.com/citation-style-language/schema/raw/master/csl-citation.json"} </w:instrText>
      </w:r>
      <w:r w:rsidRPr="0078432C">
        <w:rPr>
          <w:rStyle w:val="CitationChar"/>
        </w:rPr>
        <w:fldChar w:fldCharType="separate"/>
      </w:r>
      <w:r w:rsidR="00976999" w:rsidRPr="0078432C">
        <w:rPr>
          <w:rStyle w:val="CitationChar"/>
        </w:rPr>
        <w:t>[5]</w:t>
      </w:r>
      <w:r w:rsidRPr="0078432C">
        <w:rPr>
          <w:rStyle w:val="CitationChar"/>
        </w:rPr>
        <w:fldChar w:fldCharType="end"/>
      </w:r>
      <w:r w:rsidRPr="001C6AC7">
        <w:t>. The case of the Navajo Nation involves the operation and subsequent abandonment of approximately 500 uranium mines in and around the Nation's borders, dated between 1948 and 1967. Native miners experienced lung cancer at triple the expected rate --- native individuals who live near abandoned mines are at nearly twice the risk of kidney disease</w:t>
      </w:r>
      <w:r w:rsidR="00976999">
        <w:rPr>
          <w:rStyle w:val="FootnoteReference"/>
        </w:rPr>
        <w:footnoteReference w:id="2"/>
      </w:r>
      <w:r w:rsidRPr="001C6AC7">
        <w:t xml:space="preserve"> </w:t>
      </w:r>
      <w:r w:rsidR="00976999">
        <w:t xml:space="preserve"> </w:t>
      </w:r>
      <w:r w:rsidR="00976999" w:rsidRPr="0078432C">
        <w:rPr>
          <w:rStyle w:val="CitationChar"/>
        </w:rPr>
        <w:fldChar w:fldCharType="begin"/>
      </w:r>
      <w:r w:rsidR="00976999" w:rsidRPr="0078432C">
        <w:rPr>
          <w:rStyle w:val="CitationChar"/>
        </w:rPr>
        <w:instrText xml:space="preserve"> ADDIN ZOTERO_ITEM CSL_CITATION {"citationID":"noqbWiEU","properties":{"formattedCitation":"[5]","plainCitation":"[5]","noteIndex":0},"citationItems":[{"id":19796,"uris":["http://zotero.org/users/13422981/items/YG386UXX"],"itemData":{"id":19796,"type":"article-journal","abstract":"Purpose of Review More than a century of hard rock mining has left a legacy of &gt;160,000 abandoned mines in the Western USA that are home to the majority of Native American lands. This article describes how abrogation of treaty rights, ineffective policies, lack of infrastructure, and a lack of research in Native communities converge to create chronic exposure, illdefined risks, and tribal health concerns.","citation-key":"lewisMiningEnvironmentalHealth2017","container-title":"Current Environmental Health Reports","DOI":"10.1007/s40572-017-0140-5","ISSN":"2196-5412","issue":"2","journalAbbreviation":"Curr Envir Health Rpt","language":"en","page":"130-141","source":"DOI.org (Crossref)","title":"Mining and Environmental Health Disparities in Native American Communities","volume":"4","author":[{"family":"Lewis","given":"Johnnye"},{"family":"Hoover","given":"Joseph"},{"family":"MacKenzie","given":"Debra"}],"issued":{"date-parts":[["2017",6]]}}}],"schema":"https://github.com/citation-style-language/schema/raw/master/csl-citation.json"} </w:instrText>
      </w:r>
      <w:r w:rsidR="00976999" w:rsidRPr="0078432C">
        <w:rPr>
          <w:rStyle w:val="CitationChar"/>
        </w:rPr>
        <w:fldChar w:fldCharType="separate"/>
      </w:r>
      <w:r w:rsidR="00976999" w:rsidRPr="0078432C">
        <w:rPr>
          <w:rStyle w:val="CitationChar"/>
        </w:rPr>
        <w:t>[5]</w:t>
      </w:r>
      <w:r w:rsidR="00976999" w:rsidRPr="0078432C">
        <w:rPr>
          <w:rStyle w:val="CitationChar"/>
        </w:rPr>
        <w:fldChar w:fldCharType="end"/>
      </w:r>
      <w:r w:rsidR="00976999">
        <w:t xml:space="preserve"> </w:t>
      </w:r>
      <w:r w:rsidRPr="001C6AC7">
        <w:t xml:space="preserve">While the Navajo history with uranium mining tends to receive the most present-day attention (see </w:t>
      </w:r>
      <w:r w:rsidR="00976999" w:rsidRPr="0078432C">
        <w:rPr>
          <w:rStyle w:val="CitationChar"/>
        </w:rPr>
        <w:lastRenderedPageBreak/>
        <w:fldChar w:fldCharType="begin"/>
      </w:r>
      <w:r w:rsidR="00976999" w:rsidRPr="0078432C">
        <w:rPr>
          <w:rStyle w:val="CitationChar"/>
        </w:rPr>
        <w:instrText xml:space="preserve"> ADDIN ZOTERO_ITEM CSL_CITATION {"citationID":"EATbEoDI","properties":{"formattedCitation":"[8]","plainCitation":"[8]","noteIndex":0},"citationItems":[{"id":24646,"uris":["http://zotero.org/users/13422981/items/WNHP57CK"],"itemData":{"id":24646,"type":"webpage","citation-key":"_i","container-title":"University of New Mexico College of Pharmacy","title":"Navajo Birth Cohort Study (NBCS)/Environmental Influences on Child Health Outcomes (ECHO)","URL":"https://hsc.unm.edu/pharmacy/research/areas/nbcs-echo/","accessed":{"date-parts":[["2025",10,9]]}}}],"schema":"https://github.com/citation-style-language/schema/raw/master/csl-citation.json"} </w:instrText>
      </w:r>
      <w:r w:rsidR="00976999" w:rsidRPr="0078432C">
        <w:rPr>
          <w:rStyle w:val="CitationChar"/>
        </w:rPr>
        <w:fldChar w:fldCharType="separate"/>
      </w:r>
      <w:r w:rsidR="00976999" w:rsidRPr="0078432C">
        <w:rPr>
          <w:rStyle w:val="CitationChar"/>
        </w:rPr>
        <w:t>[8]</w:t>
      </w:r>
      <w:r w:rsidR="00976999" w:rsidRPr="0078432C">
        <w:rPr>
          <w:rStyle w:val="CitationChar"/>
        </w:rPr>
        <w:fldChar w:fldCharType="end"/>
      </w:r>
      <w:r w:rsidR="00976999">
        <w:t xml:space="preserve"> as an example</w:t>
      </w:r>
      <w:r w:rsidRPr="001C6AC7">
        <w:t xml:space="preserve">), </w:t>
      </w:r>
      <w:r w:rsidR="00976999">
        <w:t>many</w:t>
      </w:r>
      <w:r w:rsidRPr="001C6AC7">
        <w:t xml:space="preserve"> of other tribes have likewise experienced negative histories with uranium mining, including the Laguna Pueblo </w:t>
      </w:r>
      <w:r w:rsidR="00976999" w:rsidRPr="0078432C">
        <w:rPr>
          <w:rStyle w:val="CitationChar"/>
        </w:rPr>
        <w:fldChar w:fldCharType="begin"/>
      </w:r>
      <w:r w:rsidR="00976999" w:rsidRPr="0078432C">
        <w:rPr>
          <w:rStyle w:val="CitationChar"/>
        </w:rPr>
        <w:instrText xml:space="preserve"> ADDIN ZOTERO_ITEM CSL_CITATION {"citationID":"13aT30fQ","properties":{"formattedCitation":"[9]","plainCitation":"[9]","noteIndex":0},"citationItems":[{"id":24636,"uris":["http://zotero.org/users/13422981/items/A2TSUUXR"],"itemData":{"id":24636,"type":"article-journal","citation-key":"Jacobs_2004","container-title":"American Indian Culture and Research Journal","DOI":"10.17953/aicr.28.1.e6wp687h15218136","ISSN":"0161-6463","issue":"1","language":"en","page":"41-52","source":"DOI.org (Crossref)","title":"A Toxic Legacy: Stories of Jackpile Mine","title-short":"A Toxic Legacy","volume":"28","author":[{"family":"Jacobs","given":"Connie A."}],"issued":{"date-parts":[["2004",1,1]]}}}],"schema":"https://github.com/citation-style-language/schema/raw/master/csl-citation.json"} </w:instrText>
      </w:r>
      <w:r w:rsidR="00976999" w:rsidRPr="0078432C">
        <w:rPr>
          <w:rStyle w:val="CitationChar"/>
        </w:rPr>
        <w:fldChar w:fldCharType="separate"/>
      </w:r>
      <w:r w:rsidR="00976999" w:rsidRPr="0078432C">
        <w:rPr>
          <w:rStyle w:val="CitationChar"/>
        </w:rPr>
        <w:t>[9]</w:t>
      </w:r>
      <w:r w:rsidR="00976999" w:rsidRPr="0078432C">
        <w:rPr>
          <w:rStyle w:val="CitationChar"/>
        </w:rPr>
        <w:fldChar w:fldCharType="end"/>
      </w:r>
      <w:r w:rsidRPr="001C6AC7">
        <w:t xml:space="preserve">, the Spokane Tribe </w:t>
      </w:r>
      <w:r w:rsidR="00976999" w:rsidRPr="0078432C">
        <w:rPr>
          <w:rStyle w:val="CitationChar"/>
        </w:rPr>
        <w:fldChar w:fldCharType="begin"/>
      </w:r>
      <w:r w:rsidR="00976999" w:rsidRPr="0078432C">
        <w:rPr>
          <w:rStyle w:val="CitationChar"/>
        </w:rPr>
        <w:instrText xml:space="preserve"> ADDIN ZOTERO_ITEM CSL_CITATION {"citationID":"4pnTG5SF","properties":{"formattedCitation":"[10]","plainCitation":"[10]","noteIndex":0},"citationItems":[{"id":24634,"uris":["http://zotero.org/users/13422981/items/6JADV7NV"],"itemData":{"id":24634,"type":"thesis","citation-key":"Herron_1997","genre":"MA","language":"en","number-of-pages":"108","publisher":"University of Montana","source":"Zotero","title":"Effects of uranium development on tribal sovereignty | With an emphasis on the Spokane Tribe of Washington State","author":[{"family":"Herron","given":"Scott M"}],"issued":{"date-parts":[["1997"]]}}}],"schema":"https://github.com/citation-style-language/schema/raw/master/csl-citation.json"} </w:instrText>
      </w:r>
      <w:r w:rsidR="00976999" w:rsidRPr="0078432C">
        <w:rPr>
          <w:rStyle w:val="CitationChar"/>
        </w:rPr>
        <w:fldChar w:fldCharType="separate"/>
      </w:r>
      <w:r w:rsidR="00976999" w:rsidRPr="0078432C">
        <w:rPr>
          <w:rStyle w:val="CitationChar"/>
        </w:rPr>
        <w:t>[10]</w:t>
      </w:r>
      <w:r w:rsidR="00976999" w:rsidRPr="0078432C">
        <w:rPr>
          <w:rStyle w:val="CitationChar"/>
        </w:rPr>
        <w:fldChar w:fldCharType="end"/>
      </w:r>
      <w:r w:rsidRPr="001C6AC7">
        <w:t xml:space="preserve">, and the Lakota </w:t>
      </w:r>
      <w:r w:rsidR="00976999" w:rsidRPr="0078432C">
        <w:rPr>
          <w:rStyle w:val="CitationChar"/>
        </w:rPr>
        <w:fldChar w:fldCharType="begin"/>
      </w:r>
      <w:r w:rsidR="00976999" w:rsidRPr="0078432C">
        <w:rPr>
          <w:rStyle w:val="CitationChar"/>
        </w:rPr>
        <w:instrText xml:space="preserve"> ADDIN ZOTERO_ITEM CSL_CITATION {"citationID":"lFoUeRAT","properties":{"formattedCitation":"[11]","plainCitation":"[11]","noteIndex":0},"citationItems":[{"id":24643,"uris":["http://zotero.org/users/13422981/items/M3MP3C7P"],"itemData":{"id":24643,"type":"post-weblog","abstract":"Can the Lakota win a “paper war” to save their sacred sites?","citation-key":"Friedler_2020","container-title":"Mother Jones","language":"en-US","note":"section: Environment","title":"\"Get the hell off\": The Indigenous fight to stop a uranium mine in the Black Hills","title-short":"Get the hell off","URL":"https://www.motherjones.com/politics/2020/05/the-black-hills-are-not-for-sale/","author":[{"family":"Friedler","given":"Delilah"}],"accessed":{"date-parts":[["2025",10,19]]},"issued":{"date-parts":[["2020",3]]}}}],"schema":"https://github.com/citation-style-language/schema/raw/master/csl-citation.json"} </w:instrText>
      </w:r>
      <w:r w:rsidR="00976999" w:rsidRPr="0078432C">
        <w:rPr>
          <w:rStyle w:val="CitationChar"/>
        </w:rPr>
        <w:fldChar w:fldCharType="separate"/>
      </w:r>
      <w:r w:rsidR="00976999" w:rsidRPr="0078432C">
        <w:rPr>
          <w:rStyle w:val="CitationChar"/>
        </w:rPr>
        <w:t>[11]</w:t>
      </w:r>
      <w:r w:rsidR="00976999" w:rsidRPr="0078432C">
        <w:rPr>
          <w:rStyle w:val="CitationChar"/>
        </w:rPr>
        <w:fldChar w:fldCharType="end"/>
      </w:r>
      <w:r w:rsidRPr="001C6AC7">
        <w:t>.</w:t>
      </w:r>
    </w:p>
    <w:p w14:paraId="62637EC9" w14:textId="5EF28E0F" w:rsidR="00976999" w:rsidRDefault="00976999" w:rsidP="00AC5741">
      <w:r w:rsidRPr="00976999">
        <w:t>As noted</w:t>
      </w:r>
      <w:r>
        <w:t xml:space="preserve"> by</w:t>
      </w:r>
      <w:r w:rsidRPr="00976999">
        <w:t xml:space="preserve"> </w:t>
      </w:r>
      <w:r w:rsidRPr="00CB24F4">
        <w:t xml:space="preserve">Meyer </w:t>
      </w:r>
      <w:r>
        <w:t>&amp;</w:t>
      </w:r>
      <w:r w:rsidRPr="00CB24F4">
        <w:t xml:space="preserve"> </w:t>
      </w:r>
      <w:proofErr w:type="spellStart"/>
      <w:r w:rsidRPr="00CB24F4">
        <w:t>S</w:t>
      </w:r>
      <w:r>
        <w:rPr>
          <w:rFonts w:cs="Times New Roman"/>
        </w:rPr>
        <w:t>é</w:t>
      </w:r>
      <w:r w:rsidRPr="00CB24F4">
        <w:t>randour</w:t>
      </w:r>
      <w:proofErr w:type="spellEnd"/>
      <w:r w:rsidRPr="00CB24F4">
        <w:t xml:space="preserve"> </w:t>
      </w:r>
      <w:r w:rsidRPr="00976999">
        <w:t xml:space="preserve">in </w:t>
      </w:r>
      <w:r w:rsidRPr="0078432C">
        <w:rPr>
          <w:rStyle w:val="CitationChar"/>
        </w:rPr>
        <w:fldChar w:fldCharType="begin"/>
      </w:r>
      <w:r w:rsidRPr="0078432C">
        <w:rPr>
          <w:rStyle w:val="CitationChar"/>
        </w:rPr>
        <w:instrText xml:space="preserve"> ADDIN ZOTERO_ITEM CSL_CITATION {"citationID":"LCU5iHpW","properties":{"formattedCitation":"[3]","plainCitation":"[3]","noteIndex":0},"citationItems":[{"id":24613,"uris":["http://zotero.org/users/13422981/items/67TK8FW5"],"itemData":{"id":24613,"type":"article-journal","abstract":"The revival of interest in nuclear power since 2022 relies on multiple spatial promises, such as expanding nuclear energy to unequipped countries or developing new types of reactors for isolated and remote communities. Researchers delved into the interactions between space and the nuclear technologies since the early 1950s. However, we still lack a comprehensive review of this literature. To fill these gaps, we conducted a comprehensive and systematic review of 205 papers, using a mixed methods design. We target three objectives: identifying potential biases in the methods applied and in the chosen case studies, discussing the scientific agendas that motivate these research, and distinguishing the characteristics of nuclear/space interactions. Results indicate the existence of thematic and geographic blind spots in the literature. Researchers have focused on a reduce number of highly visible and deeply politicized sites. These works also overemphasized European and North American countries, thus invisiblizing the role of the ‘global south’ in sustaining this industry. Using bibliometric data, we demonstrate that the community of scholars working on the spatial dimensions of nuclear power remains fragmented. We identified seven scientific agendas motivating research on nuclear/space relations. Results also highlight eight features in the literature, defining nuclear places as space of managed secrecy, uncertainty, strategic resources, spectacularization, containment, scale collision, coloniality and (inter)dependent communities. Finally, we argue that future research will need to rely on more provincialized approaches and suggest potential avenues for future works.","citation-key":"MeyerSerandour_2024","container-title":"Energy Research &amp; Social Science","DOI":"10.1016/j.erss.2024.103611","ISSN":"22146296","journalAbbreviation":"Energy Research &amp; Social Science","language":"en","page":"103611","source":"DOI.org (Crossref)","title":"Placing the intangible: Space, nuclear power and social sciences","title-short":"Placing the intangible","volume":"115","author":[{"family":"Meyer","given":"Teva"},{"family":"Sérandour","given":"Audrey"}],"issued":{"date-parts":[["2024",9]]}}}],"schema":"https://github.com/citation-style-language/schema/raw/master/csl-citation.json"} </w:instrText>
      </w:r>
      <w:r w:rsidRPr="0078432C">
        <w:rPr>
          <w:rStyle w:val="CitationChar"/>
        </w:rPr>
        <w:fldChar w:fldCharType="separate"/>
      </w:r>
      <w:r w:rsidRPr="0078432C">
        <w:rPr>
          <w:rStyle w:val="CitationChar"/>
        </w:rPr>
        <w:t>[3]</w:t>
      </w:r>
      <w:r w:rsidRPr="0078432C">
        <w:rPr>
          <w:rStyle w:val="CitationChar"/>
        </w:rPr>
        <w:fldChar w:fldCharType="end"/>
      </w:r>
      <w:r>
        <w:t xml:space="preserve">, </w:t>
      </w:r>
      <w:r w:rsidRPr="00976999">
        <w:t xml:space="preserve">there is a dearth of cases in front-end fuel cycle operations post-mining (i.e. milling, conversion, enrichment, and fuel fabrication). Uranium mills are generally co-located among a collection of mines, so it is sensible for historical similarities to arise between the two processes. Such similarities can be seen in the case of the Church Rock uranium mill, where approximately 46 curies/1000 metric tons of mill tailings were released into the Puerco River by way of a dam breach in 1979 </w:t>
      </w:r>
      <w:r w:rsidRPr="0078432C">
        <w:rPr>
          <w:rStyle w:val="CitationChar"/>
        </w:rPr>
        <w:fldChar w:fldCharType="begin"/>
      </w:r>
      <w:r w:rsidRPr="0078432C">
        <w:rPr>
          <w:rStyle w:val="CitationChar"/>
        </w:rPr>
        <w:instrText xml:space="preserve"> ADDIN ZOTERO_ITEM CSL_CITATION {"citationID":"KtpMvS2l","properties":{"formattedCitation":"[12]","plainCitation":"[12]","noteIndex":0},"citationItems":[{"id":19760,"uris":["http://zotero.org/users/13422981/items/DWMJLXIP"],"itemData":{"id":19760,"type":"article-journal","abstract":"The Three Mile Island nuclear release exemplifies why there is public and policy interest in the high-technology, highly visible end of the nuclear cycle. The environmental and health consequences of the early steps in the cycle—mining, milling, and processing of uranium ore—may be less appreciated.\n            We examined 2 large unintended acute releases of uranium—at Kerr McGee’s Sequoyah Fuels Corporation in Oklahoma and United Nuclear Corporation’s Church Rock uranium mill in New Mexico, which were incidents with comparable magnitude to the Three Mile Island release.\n            We urge exploration of whether there is limited national interest and concern for the primarily rural, low-income, and American Indian communities affected by these releases.\n            More attention should be given to the early stages of the nuclear cycle and their impacts on health and the environment.","citation-key":"BruggeEtAl_2007","container-title":"American Journal of Public Health","DOI":"10.2105/AJPH.2006.103044","ISSN":"0090-0036, 1541-0048","issue":"9","journalAbbreviation":"Am J Public Health","language":"en","page":"1595-1600","source":"DOI.org (Crossref)","title":"The Sequoyah Corporation Fuels Release and the Church Rock Spill: Unpublicized Nuclear Releases in American Indian Communities","title-short":"The Sequoyah Corporation Fuels Release and the Church Rock Spill","volume":"97","author":[{"family":"Brugge","given":"Doug"},{"family":"deLemos","given":"Jamie L."},{"family":"Bui","given":"Cat"}],"issued":{"date-parts":[["2007",9]]}}}],"schema":"https://github.com/citation-style-language/schema/raw/master/csl-citation.json"} </w:instrText>
      </w:r>
      <w:r w:rsidRPr="0078432C">
        <w:rPr>
          <w:rStyle w:val="CitationChar"/>
        </w:rPr>
        <w:fldChar w:fldCharType="separate"/>
      </w:r>
      <w:r w:rsidRPr="0078432C">
        <w:rPr>
          <w:rStyle w:val="CitationChar"/>
        </w:rPr>
        <w:t>[12]</w:t>
      </w:r>
      <w:r w:rsidRPr="0078432C">
        <w:rPr>
          <w:rStyle w:val="CitationChar"/>
        </w:rPr>
        <w:fldChar w:fldCharType="end"/>
      </w:r>
      <w:r w:rsidRPr="00976999">
        <w:t xml:space="preserve">. The spill point on the Puerco River was approximately 130 kilometers upstream to a familiar </w:t>
      </w:r>
      <w:r>
        <w:t>community —</w:t>
      </w:r>
      <w:r w:rsidRPr="00976999">
        <w:t xml:space="preserve"> the Navajo Nation.</w:t>
      </w:r>
    </w:p>
    <w:p w14:paraId="25325943" w14:textId="5A3EDFD5" w:rsidR="00976999" w:rsidRDefault="00976999" w:rsidP="00AC5741">
      <w:r w:rsidRPr="00976999">
        <w:t>In the same article that details the spill at Church Rock</w:t>
      </w:r>
      <w:r>
        <w:t xml:space="preserve"> </w:t>
      </w:r>
      <w:r w:rsidRPr="0078432C">
        <w:rPr>
          <w:rStyle w:val="CitationChar"/>
        </w:rPr>
        <w:fldChar w:fldCharType="begin"/>
      </w:r>
      <w:r w:rsidRPr="0078432C">
        <w:rPr>
          <w:rStyle w:val="CitationChar"/>
        </w:rPr>
        <w:instrText xml:space="preserve"> ADDIN ZOTERO_ITEM CSL_CITATION {"citationID":"9viMg21x","properties":{"formattedCitation":"[12]","plainCitation":"[12]","noteIndex":0},"citationItems":[{"id":19760,"uris":["http://zotero.org/users/13422981/items/DWMJLXIP"],"itemData":{"id":19760,"type":"article-journal","abstract":"The Three Mile Island nuclear release exemplifies why there is public and policy interest in the high-technology, highly visible end of the nuclear cycle. The environmental and health consequences of the early steps in the cycle—mining, milling, and processing of uranium ore—may be less appreciated.\n            We examined 2 large unintended acute releases of uranium—at Kerr McGee’s Sequoyah Fuels Corporation in Oklahoma and United Nuclear Corporation’s Church Rock uranium mill in New Mexico, which were incidents with comparable magnitude to the Three Mile Island release.\n            We urge exploration of whether there is limited national interest and concern for the primarily rural, low-income, and American Indian communities affected by these releases.\n            More attention should be given to the early stages of the nuclear cycle and their impacts on health and the environment.","citation-key":"BruggeEtAl_2007","container-title":"American Journal of Public Health","DOI":"10.2105/AJPH.2006.103044","ISSN":"0090-0036, 1541-0048","issue":"9","journalAbbreviation":"Am J Public Health","language":"en","page":"1595-1600","source":"DOI.org (Crossref)","title":"The Sequoyah Corporation Fuels Release and the Church Rock Spill: Unpublicized Nuclear Releases in American Indian Communities","title-short":"The Sequoyah Corporation Fuels Release and the Church Rock Spill","volume":"97","author":[{"family":"Brugge","given":"Doug"},{"family":"deLemos","given":"Jamie L."},{"family":"Bui","given":"Cat"}],"issued":{"date-parts":[["2007",9]]}}}],"schema":"https://github.com/citation-style-language/schema/raw/master/csl-citation.json"} </w:instrText>
      </w:r>
      <w:r w:rsidRPr="0078432C">
        <w:rPr>
          <w:rStyle w:val="CitationChar"/>
        </w:rPr>
        <w:fldChar w:fldCharType="separate"/>
      </w:r>
      <w:r w:rsidRPr="0078432C">
        <w:rPr>
          <w:rStyle w:val="CitationChar"/>
        </w:rPr>
        <w:t>[12]</w:t>
      </w:r>
      <w:r w:rsidRPr="0078432C">
        <w:rPr>
          <w:rStyle w:val="CitationChar"/>
        </w:rPr>
        <w:fldChar w:fldCharType="end"/>
      </w:r>
      <w:r>
        <w:t>,</w:t>
      </w:r>
      <w:r w:rsidRPr="00976999">
        <w:t xml:space="preserve"> the authors compare that incident to the partial meltdown at Three Mile Island, in addition to incidents at two different Oklahoma facilities owned by the Kerr-McGee Corporation. The Kerr-McGee incidents follow the suspicious death of whistleblower and union representative Karen Silkwood in 1974 </w:t>
      </w:r>
      <w:r>
        <w:t>—</w:t>
      </w:r>
      <w:r w:rsidRPr="00976999">
        <w:t xml:space="preserve"> who worked at the Cimarron Fuel Fabrication site </w:t>
      </w:r>
      <w:r>
        <w:t>—</w:t>
      </w:r>
      <w:r w:rsidRPr="00976999">
        <w:t xml:space="preserve"> and the uranium hexafluoride release at the Sequoyah Fuels facility in 1986. Of these four similar incidents</w:t>
      </w:r>
      <w:r>
        <w:rPr>
          <w:rStyle w:val="FootnoteReference"/>
        </w:rPr>
        <w:footnoteReference w:id="3"/>
      </w:r>
      <w:r>
        <w:t>,</w:t>
      </w:r>
      <w:r w:rsidRPr="00976999">
        <w:t xml:space="preserve"> the two that garnered the most national attention was Three Mile Island and the death of Karen Silkwood. While the exact reasons as to why </w:t>
      </w:r>
      <w:r>
        <w:t>these cases held the most space in public thought</w:t>
      </w:r>
      <w:r w:rsidRPr="00976999">
        <w:t xml:space="preserve"> is impossible to determine, it is evident that the incident at Three Mile Island occurred near a communities of greater socioeconomic status as compared to the rural communities affected by Sequoyah and Church Rock, and that Karen Silkwood was herself white while those affected by Sequoyah and Church Rock were primarily non-white Hispanics and American Indians.</w:t>
      </w:r>
    </w:p>
    <w:p w14:paraId="758E0031" w14:textId="28224C03" w:rsidR="00DA7E1F" w:rsidRDefault="00DA7E1F" w:rsidP="00AC5741">
      <w:r w:rsidRPr="00DA7E1F">
        <w:t>Outside of the cases of Church Rock, Sequoyah, and Cimarron, there are few other studies on the social impacts of post-mining front-end facilities. These facility types include milling, conversion, enrichment, fuel fabrication, and other means of uranium recovery such as phosphate processing. Various medical papers have reported on health impacts of workers (</w:t>
      </w:r>
      <w:proofErr w:type="spellStart"/>
      <w:r w:rsidRPr="00DA7E1F">
        <w:t>e.g</w:t>
      </w:r>
      <w:proofErr w:type="spellEnd"/>
      <w:r w:rsidRPr="00DA7E1F">
        <w:t xml:space="preserve">, statistically insignificant mortality patterns among workers at the Paducah Gaseous Diffusion Plant </w:t>
      </w:r>
      <w:r w:rsidRPr="0078432C">
        <w:rPr>
          <w:rStyle w:val="CitationChar"/>
        </w:rPr>
        <w:fldChar w:fldCharType="begin"/>
      </w:r>
      <w:r w:rsidRPr="0078432C">
        <w:rPr>
          <w:rStyle w:val="CitationChar"/>
        </w:rPr>
        <w:instrText xml:space="preserve"> ADDIN ZOTERO_ITEM CSL_CITATION {"citationID":"yqA9iVfx","properties":{"formattedCitation":"[13]","plainCitation":"[13]","noteIndex":0},"citationItems":[{"id":24757,"uris":["http://zotero.org/users/13422981/items/7FUQQRJK"],"itemData":{"id":24757,"type":"article-journal","abstract":"Objective: \n          To determine whether Paducah Gaseous Diffusion Plant workers had mortality patterns that differed from the general US population and to investigate whether mortality patterns were associated with job title or workplace exposures.\n          Methods: \n          A retrospective occupational cohort mortality study was conducted on 6759 workers. Standardized mortality ratio analyses compared the cohort with the referent US population. Internal comparisons producing standardized rate ratios were conducted by job title, metal exposure, and cumulative internal and external radiation exposures.\n          Results: \n          Overall mortality and cancer rates were lower than the referent population, reflecting a strong healthy worker effect. Individual not significant standardized mortality ratios and standardized rate ratios were noted for cancers of the lymphatic and hematopoietic tissue.\n          Conclusions: \n          Although relatively low exposures to radiation and metals did not produce statistically significant health effects, no significant elevations for lymphatic and hematopoietic cancers were consistent with previous studies of nuclear workers.","citation-key":"ChanEtAl_2010","container-title":"Journal of Occupational and Environmental Medicine","DOI":"10.1097/JOM.0b013e3181e48ee0","ISSN":"1076-2752","issue":"7","language":"en-US","page":"725","source":"journals.lww.com","title":"Mortality Patterns Among Paducah Gaseous Diffusion Plant Workers","volume":"52","author":[{"family":"Chan","given":"Caroline"},{"family":"Hughes","given":"Therese S."},{"family":"Muldoon","given":"Susan"},{"family":"Aldrich","given":"Tim"},{"family":"Rice","given":"Carol"},{"family":"Hornung","given":"Richard"},{"family":"Brion","given":"Gail"},{"family":"Tollerud","given":"David J."}],"issued":{"date-parts":[["2010",7]]}}}],"schema":"https://github.com/citation-style-language/schema/raw/master/csl-citation.json"} </w:instrText>
      </w:r>
      <w:r w:rsidRPr="0078432C">
        <w:rPr>
          <w:rStyle w:val="CitationChar"/>
        </w:rPr>
        <w:fldChar w:fldCharType="separate"/>
      </w:r>
      <w:r w:rsidRPr="0078432C">
        <w:rPr>
          <w:rStyle w:val="CitationChar"/>
        </w:rPr>
        <w:t>[13]</w:t>
      </w:r>
      <w:r w:rsidRPr="0078432C">
        <w:rPr>
          <w:rStyle w:val="CitationChar"/>
        </w:rPr>
        <w:fldChar w:fldCharType="end"/>
      </w:r>
      <w:r w:rsidRPr="00DA7E1F">
        <w:t xml:space="preserve">), but most front-end facilities evade analysis of their social consequences. There are three possible reasons for this. First, there simply have not been many commercially operating fuel processing facilities throughout the development of the American nuclear industry. </w:t>
      </w:r>
      <w:r w:rsidRPr="00DA7E1F">
        <w:rPr>
          <w:highlight w:val="yellow"/>
        </w:rPr>
        <w:t>As of 2025, only 73 fuel processing facilities have ever operated, 44 of which were mills</w:t>
      </w:r>
      <w:r w:rsidRPr="00DA7E1F">
        <w:t xml:space="preserve">. Second, facilities that have not committed egregious safety or environmental violations (such as Church Rock, </w:t>
      </w:r>
      <w:proofErr w:type="spellStart"/>
      <w:r w:rsidRPr="00DA7E1F">
        <w:t>Seqouyah</w:t>
      </w:r>
      <w:proofErr w:type="spellEnd"/>
      <w:r w:rsidRPr="00DA7E1F">
        <w:t xml:space="preserve">, and Cimarron) do not attract much attention from </w:t>
      </w:r>
      <w:r>
        <w:t>media and the wider public</w:t>
      </w:r>
      <w:r w:rsidRPr="00DA7E1F">
        <w:t>. Third, the front-end of the fuel cycle is generally overlooked in public discourse as compared to reactors and spent fuel handling.</w:t>
      </w:r>
    </w:p>
    <w:p w14:paraId="6F401C2F" w14:textId="61DE5293" w:rsidR="00DA7E1F" w:rsidRDefault="00DA7E1F" w:rsidP="00AC5741">
      <w:r w:rsidRPr="00DA7E1F">
        <w:lastRenderedPageBreak/>
        <w:t>The flagship of the nuclear fuel cycle -- power reactors -- garner much attention from social science. While much of this attention is formed out of industry-level theoretical critiques</w:t>
      </w:r>
      <w:r>
        <w:t xml:space="preserve"> (such as </w:t>
      </w:r>
      <w:r w:rsidRPr="0078432C">
        <w:rPr>
          <w:rStyle w:val="CitationChar"/>
        </w:rPr>
        <w:fldChar w:fldCharType="begin"/>
      </w:r>
      <w:r w:rsidRPr="0078432C">
        <w:rPr>
          <w:rStyle w:val="CitationChar"/>
        </w:rPr>
        <w:instrText xml:space="preserve"> ADDIN ZOTERO_ITEM CSL_CITATION {"citationID":"937SsmQ4","properties":{"formattedCitation":"[2]","plainCitation":"[2]","noteIndex":0},"citationItems":[{"id":19834,"uris":["http://zotero.org/users/13422981/items/Y55BXMLE"],"itemData":{"id":19834,"type":"book","citation-key":"Winner_2001","edition":"Nachdr.","ISBN":"978-0-226-90211-1","language":"en","number-of-pages":"200","publisher":"Univ. of Chicago Press","publisher-place":"Chicago","source":"K10plus ISBN","title":"The whale and the reactor: a search for limits in an age of high technology","title-short":"The whale and the reactor","author":[{"family":"Winner","given":"Langdon"}],"issued":{"date-parts":[["2001"]]}}}],"schema":"https://github.com/citation-style-language/schema/raw/master/csl-citation.json"} </w:instrText>
      </w:r>
      <w:r w:rsidRPr="0078432C">
        <w:rPr>
          <w:rStyle w:val="CitationChar"/>
        </w:rPr>
        <w:fldChar w:fldCharType="separate"/>
      </w:r>
      <w:r w:rsidRPr="0078432C">
        <w:rPr>
          <w:rStyle w:val="CitationChar"/>
        </w:rPr>
        <w:t>[2]</w:t>
      </w:r>
      <w:r w:rsidRPr="0078432C">
        <w:rPr>
          <w:rStyle w:val="CitationChar"/>
        </w:rPr>
        <w:fldChar w:fldCharType="end"/>
      </w:r>
      <w:r>
        <w:t>)</w:t>
      </w:r>
      <w:r w:rsidRPr="00DA7E1F">
        <w:t>, there are many studies that examine the social impacts of specific reactor sites.</w:t>
      </w:r>
    </w:p>
    <w:p w14:paraId="4DC7299B" w14:textId="6379BC17" w:rsidR="00DA7E1F" w:rsidRDefault="00DA7E1F" w:rsidP="00AC5741">
      <w:r w:rsidRPr="00DA7E1F">
        <w:t>As power reactors age and operating licenses approach expiration, investigations of reactor sites have evolved into discussions on decommissioning. In a 2022 article, Yamamoto &amp; Greco expand on a theoretic body of decommissioning concerns through a comparison of nine shutdown reactor sites</w:t>
      </w:r>
      <w:r>
        <w:rPr>
          <w:rStyle w:val="FootnoteReference"/>
        </w:rPr>
        <w:footnoteReference w:id="4"/>
      </w:r>
      <w:r>
        <w:t xml:space="preserve"> </w:t>
      </w:r>
      <w:r>
        <w:fldChar w:fldCharType="begin"/>
      </w:r>
      <w:r>
        <w:instrText xml:space="preserve"> ADDIN ZOTERO_ITEM CSL_CITATION {"citationID":"3yB4kA62","properties":{"formattedCitation":"[14]","plainCitation":"[14]","noteIndex":0},"citationItems":[{"id":24846,"uris":["http://zotero.org/users/13422981/items/CLSIB349"],"itemData":{"id":24846,"type":"article-journal","abstract":"Nuclear energy occupies a conspicuous place in the global energy transition. In the United States, civilian nuclear power plants are shutting down before their licenses expire, leaving nuclear host communities struggling to cope with the unexpected change. This study focuses on the socio-economic dimensions of the effects of nuclear power plant shutdowns in nuclear host communities in the United States. Our study attempts to strike a balance between intensive case studies, which often fail to disentangle place-specific factors from broader trends and to put observations in perspective, and large-sample-based quantitative analyses, which seeks a general impact of decommissioning without paying sufficient attention to local variations. We adopt a quasi-experimental approach, which compares communities with decommissioned plants to their control neighbors, to assess the diverse trajectories of socio-economic well-being of nuclear host communities before and after plant closure. These communities are analyzed in terms of their population, per capita income, education, poverty levels, and unemployment. The findings provide a starting point from which more detailed case studies can be conducted, and nuclear host communities can better navigate the decommissioning process.","citation-key":"YamamotoGreco_2022","container-title":"Energy Research &amp; Social Science","language":"en","source":"Zotero","title":"Cursed forever? Exploring socio-economic effects of nuclear power plant closures across nine communities in the United States","author":[{"family":"Yamamoto","given":"Daisaku"},{"family":"Greco","given":"Angelica"}],"issued":{"date-parts":[["2022"]]}}}],"schema":"https://github.com/citation-style-language/schema/raw/master/csl-citation.json"} </w:instrText>
      </w:r>
      <w:r>
        <w:fldChar w:fldCharType="separate"/>
      </w:r>
      <w:r w:rsidRPr="00DA7E1F">
        <w:rPr>
          <w:rFonts w:cs="Times New Roman"/>
        </w:rPr>
        <w:t>[14]</w:t>
      </w:r>
      <w:r>
        <w:fldChar w:fldCharType="end"/>
      </w:r>
      <w:r w:rsidRPr="00DA7E1F">
        <w:t>.</w:t>
      </w:r>
    </w:p>
    <w:p w14:paraId="711DBFD3" w14:textId="7552E57B" w:rsidR="00933B2C" w:rsidRPr="005A40A2" w:rsidRDefault="00933B2C" w:rsidP="00AC5741">
      <w:pPr>
        <w:rPr>
          <w:b/>
          <w:bCs/>
          <w:i/>
          <w:iCs/>
          <w:u w:val="single"/>
        </w:rPr>
      </w:pPr>
      <w:r w:rsidRPr="005A40A2">
        <w:rPr>
          <w:b/>
          <w:bCs/>
          <w:i/>
          <w:iCs/>
          <w:u w:val="single"/>
        </w:rPr>
        <w:t>INTERIM STORAGE</w:t>
      </w:r>
    </w:p>
    <w:p w14:paraId="4A542D63" w14:textId="4E30DABE" w:rsidR="00933B2C" w:rsidRPr="005A40A2" w:rsidRDefault="00933B2C" w:rsidP="00AC5741">
      <w:pPr>
        <w:rPr>
          <w:b/>
          <w:bCs/>
          <w:i/>
          <w:iCs/>
          <w:u w:val="single"/>
        </w:rPr>
      </w:pPr>
      <w:r w:rsidRPr="005A40A2">
        <w:rPr>
          <w:b/>
          <w:bCs/>
          <w:i/>
          <w:iCs/>
          <w:u w:val="single"/>
        </w:rPr>
        <w:t>REPOSITORIES</w:t>
      </w:r>
    </w:p>
    <w:p w14:paraId="38421198" w14:textId="29A0D82C" w:rsidR="00933B2C" w:rsidRDefault="00933B2C" w:rsidP="00AC5741">
      <w:r w:rsidRPr="00933B2C">
        <w:t xml:space="preserve">From this brief exploration of local-level impacts brought by nuclear fuel cycle operations, two primary questions arise. First, in what ways do fuel cycle facilities affect their host </w:t>
      </w:r>
      <w:proofErr w:type="gramStart"/>
      <w:r w:rsidRPr="00933B2C">
        <w:t>communities?</w:t>
      </w:r>
      <w:proofErr w:type="gramEnd"/>
      <w:r w:rsidRPr="00933B2C">
        <w:t xml:space="preserve"> Primary effects include environmental and health risks, economic opportunity and dependence, fractured political structures, and general shifts in culture. Such effects, both positive and negative, are born from all stages of operation across all facility types, from siting to decommissioning, from mines to repositories. Second, is the nuclear fuel cycle just? Are risks and benefits distributed fairly, are decisions made freely, and are real, negative consequences (namely contamination) repaired?</w:t>
      </w:r>
    </w:p>
    <w:p w14:paraId="66C7A33C" w14:textId="4FA12FE5" w:rsidR="00933B2C" w:rsidRPr="0078432C" w:rsidRDefault="00933B2C" w:rsidP="00AC5741">
      <w:pPr>
        <w:rPr>
          <w:b/>
          <w:bCs/>
          <w:i/>
          <w:iCs/>
          <w:u w:val="single"/>
        </w:rPr>
      </w:pPr>
      <w:r w:rsidRPr="0078432C">
        <w:rPr>
          <w:b/>
          <w:bCs/>
          <w:i/>
          <w:iCs/>
          <w:u w:val="single"/>
        </w:rPr>
        <w:t>We are missing a lot of knowledge here. Especially regarding front-end processing. What is the good we are missing? What is the bad?</w:t>
      </w:r>
    </w:p>
    <w:p w14:paraId="11830E34" w14:textId="33977AB5" w:rsidR="00933B2C" w:rsidRDefault="00933B2C" w:rsidP="00AC5741">
      <w:r w:rsidRPr="00933B2C">
        <w:t xml:space="preserve">The focus of this work is primarily on the commercial NFC (and therefore, we </w:t>
      </w:r>
      <w:r>
        <w:t xml:space="preserve">primarily </w:t>
      </w:r>
      <w:r w:rsidRPr="00933B2C">
        <w:t xml:space="preserve">use cases of commercial facilities as our </w:t>
      </w:r>
      <w:r>
        <w:t>main</w:t>
      </w:r>
      <w:r w:rsidRPr="00933B2C">
        <w:t xml:space="preserve"> source of background information), but it is also necessary to acknowledge the interconnections with research and defense.</w:t>
      </w:r>
    </w:p>
    <w:p w14:paraId="2D708B62" w14:textId="1E09D7E7" w:rsidR="001C6AC7" w:rsidRDefault="001C6AC7" w:rsidP="001C6AC7">
      <w:pPr>
        <w:pStyle w:val="Heading2"/>
      </w:pPr>
      <w:r>
        <w:t>On Justice &amp; Sustainability</w:t>
      </w:r>
    </w:p>
    <w:p w14:paraId="481CBE71" w14:textId="16C784AD" w:rsidR="001C6AC7" w:rsidRPr="001C6AC7" w:rsidRDefault="001C6AC7" w:rsidP="001C6AC7">
      <w:pPr>
        <w:pStyle w:val="Heading2"/>
      </w:pPr>
      <w:proofErr w:type="gramStart"/>
      <w:r>
        <w:t>An Exercise</w:t>
      </w:r>
      <w:proofErr w:type="gramEnd"/>
      <w:r>
        <w:t xml:space="preserve"> in Critical Cartography</w:t>
      </w:r>
    </w:p>
    <w:p w14:paraId="6A9AC43A" w14:textId="5BD9413C" w:rsidR="00E93F35" w:rsidRDefault="00E93F35" w:rsidP="00465DFD"/>
    <w:p w14:paraId="74C43164" w14:textId="77777777" w:rsidR="00CB24F4" w:rsidRDefault="00CB24F4">
      <w:pPr>
        <w:rPr>
          <w:b/>
          <w:bCs/>
          <w:sz w:val="28"/>
          <w:szCs w:val="24"/>
        </w:rPr>
      </w:pPr>
      <w:r>
        <w:br w:type="page"/>
      </w:r>
    </w:p>
    <w:p w14:paraId="67DDB0FD" w14:textId="0FF2E83D" w:rsidR="00CB24F4" w:rsidRDefault="00CB24F4" w:rsidP="00CB24F4">
      <w:pPr>
        <w:pStyle w:val="Parts"/>
      </w:pPr>
      <w:r>
        <w:lastRenderedPageBreak/>
        <w:t>Part 2 — Methods, Data, and Conclusions</w:t>
      </w:r>
    </w:p>
    <w:p w14:paraId="437D84F4" w14:textId="63B9CA69" w:rsidR="00933B2C" w:rsidRDefault="00933B2C" w:rsidP="00D046EA">
      <w:pPr>
        <w:pStyle w:val="Heading1"/>
      </w:pPr>
      <w:r>
        <w:t>Methods</w:t>
      </w:r>
    </w:p>
    <w:p w14:paraId="30629997" w14:textId="000BA7B8" w:rsidR="00933B2C" w:rsidRDefault="00933B2C" w:rsidP="00933B2C">
      <w:pPr>
        <w:pStyle w:val="Heading2"/>
      </w:pPr>
      <w:r>
        <w:t>Facility &amp; Site Identification</w:t>
      </w:r>
    </w:p>
    <w:p w14:paraId="173B5D68" w14:textId="10E853B4" w:rsidR="00D046EA" w:rsidRPr="00D046EA" w:rsidRDefault="00D046EA" w:rsidP="00D046EA">
      <w:r w:rsidRPr="00D046EA">
        <w:t xml:space="preserve">The analysis contained in this work was conducted in two </w:t>
      </w:r>
      <w:r w:rsidR="006958C3">
        <w:t>main</w:t>
      </w:r>
      <w:r w:rsidRPr="00D046EA">
        <w:t xml:space="preserve"> phases. Because of incomplete and uncompiled operational and geospatial data, we first compiled commercial fuel cycle facilities into a central database characterized by function, production capacity, operational history, and location. Subsequently, we calculated population demographics near identified facilities from decennial censuses and American Community Surveys via the US Census Bureau. This section includes the methodological details of facility characterization, demographic aggregation, time-dependent analysis, and data sensitivity studies.</w:t>
      </w:r>
    </w:p>
    <w:p w14:paraId="5AA53588" w14:textId="48B98A20" w:rsidR="00933B2C" w:rsidRDefault="00933B2C" w:rsidP="00933B2C">
      <w:pPr>
        <w:pStyle w:val="Heading3"/>
      </w:pPr>
      <w:r>
        <w:t>Definitions</w:t>
      </w:r>
      <w:r w:rsidR="00D046EA">
        <w:t xml:space="preserve"> &amp; Scope</w:t>
      </w:r>
    </w:p>
    <w:p w14:paraId="6F8BDB38" w14:textId="7B861EC4" w:rsidR="00D046EA" w:rsidRDefault="00D046EA" w:rsidP="00D046EA">
      <w:r w:rsidRPr="00D046EA">
        <w:t xml:space="preserve">Before detailing the initial phase of site identification, we must first define the meaning of a "commercial nuclear fuel cycle facility." In the context of this analysis, a "nuclear fuel cycle facility" is any location containing equipment which is used for the production or utilization of nuclear fuel, or for the management of used nuclear fuel/nuclear waste. The categories of fuel cycle facilities included in this analysis </w:t>
      </w:r>
      <w:proofErr w:type="gramStart"/>
      <w:r w:rsidRPr="00D046EA">
        <w:t>is</w:t>
      </w:r>
      <w:proofErr w:type="gramEnd"/>
      <w:r w:rsidRPr="00D046EA">
        <w:t xml:space="preserve"> exhaustive, and </w:t>
      </w:r>
      <w:proofErr w:type="gramStart"/>
      <w:r w:rsidRPr="00D046EA">
        <w:t>includes</w:t>
      </w:r>
      <w:proofErr w:type="gramEnd"/>
      <w:r w:rsidRPr="00D046EA">
        <w:t xml:space="preserve"> mines, mills, conversion plants, enrichment plants, deconversion &amp; fuel fabrication plants, power reactors, reprocessing plants, on-site waste storage, consolidated interim storage, and geologic repositories.</w:t>
      </w:r>
    </w:p>
    <w:p w14:paraId="2342B8CF" w14:textId="6349064E" w:rsidR="00D046EA" w:rsidRDefault="00D046EA" w:rsidP="00D046EA">
      <w:commentRangeStart w:id="1"/>
      <w:r w:rsidRPr="00D046EA">
        <w:t xml:space="preserve">"Commercial," </w:t>
      </w:r>
      <w:commentRangeEnd w:id="1"/>
      <w:r>
        <w:rPr>
          <w:rStyle w:val="CommentReference"/>
        </w:rPr>
        <w:commentReference w:id="1"/>
      </w:r>
      <w:r w:rsidRPr="00D046EA">
        <w:t xml:space="preserve">in the context of this analysis, indicates any facility that contributes to the civilian use of nuclear power. This is in contrast to fuel cycle facilities created for defense and research applications (e.g., the Monticello uranium mill or TRIGA non-power reactors), though multi-use commercial facilities (e.g., the Elk River reactor or the Paducah diffusion plant) were included. Omissions were made, however, for multi-use commercial facilities that are located within national laboratories (e.g., the K-25 diffusion plant at Oak Ridge National Laboratory). This is because any analysis that comes from commercial/national lab facilities would be an underrepresentation of the nominal risk posed by the remaining facilities from excluded laboratory sites. Site identification of </w:t>
      </w:r>
      <w:r>
        <w:rPr>
          <w:i/>
          <w:iCs/>
        </w:rPr>
        <w:t>all</w:t>
      </w:r>
      <w:r w:rsidRPr="00D046EA">
        <w:t xml:space="preserve"> nuclear sites (such as national labs, military bases, and weapons testing sites) is outside the scope of this work.</w:t>
      </w:r>
    </w:p>
    <w:p w14:paraId="7FDC718F" w14:textId="77777777" w:rsidR="00D046EA" w:rsidRDefault="00D046EA" w:rsidP="00D046EA">
      <w:r>
        <w:t>G</w:t>
      </w:r>
      <w:r w:rsidRPr="00D046EA">
        <w:t xml:space="preserve">enerally, only facilities with documented production were included in the site compilation. Because the demographic analysis is based on exposure to risk posed by nuclear facilities, any facility that never generated risk from nuclear operations was omitted (e.g., reactor projects that were canceled during construction, such as Cherokee in South Carolina). However, because neither a commercial </w:t>
      </w:r>
      <w:r w:rsidRPr="00D046EA">
        <w:lastRenderedPageBreak/>
        <w:t xml:space="preserve">consolidated storage facility nor a repository has been built, we include waste sites within a separate "proposed" category. Specific details of these proposed sites will be detailed in </w:t>
      </w:r>
      <w:r>
        <w:fldChar w:fldCharType="begin"/>
      </w:r>
      <w:r>
        <w:instrText xml:space="preserve"> REF _Ref220408086 \r \h </w:instrText>
      </w:r>
      <w:r>
        <w:fldChar w:fldCharType="separate"/>
      </w:r>
      <w:r>
        <w:t>3.1.5</w:t>
      </w:r>
      <w:r>
        <w:fldChar w:fldCharType="end"/>
      </w:r>
      <w:r w:rsidRPr="00D046EA">
        <w:t xml:space="preserve"> and </w:t>
      </w:r>
      <w:r>
        <w:fldChar w:fldCharType="begin"/>
      </w:r>
      <w:r>
        <w:instrText xml:space="preserve"> REF _Ref220408096 \r \h </w:instrText>
      </w:r>
      <w:r>
        <w:fldChar w:fldCharType="separate"/>
      </w:r>
      <w:r>
        <w:t>3.1.6</w:t>
      </w:r>
      <w:r>
        <w:fldChar w:fldCharType="end"/>
      </w:r>
      <w:r>
        <w:t xml:space="preserve">, </w:t>
      </w:r>
      <w:r w:rsidRPr="00D046EA">
        <w:t>but in short, a proposed site was included if: (a) a specific location was identified and (b) considerable resources were spent on site characterization.</w:t>
      </w:r>
    </w:p>
    <w:p w14:paraId="73735785" w14:textId="46FD674C" w:rsidR="00D046EA" w:rsidRPr="00D046EA" w:rsidRDefault="00D046EA" w:rsidP="00D046EA">
      <w:r w:rsidRPr="00D046EA">
        <w:t>In the following 6 sections, we outline the methods used to characterize fuel cycle sites in the following categories: mines, fuel processing (which includes milling, conversion, enrichment, deconversion/fuel fabrication, reprocessing, and alternative uranium recovery), power reactors, on-site waste storage, proposed interim storage, and proposed repositories.</w:t>
      </w:r>
    </w:p>
    <w:p w14:paraId="00A39397" w14:textId="15A7D009" w:rsidR="00933B2C" w:rsidRDefault="00933B2C" w:rsidP="00933B2C">
      <w:pPr>
        <w:pStyle w:val="Heading3"/>
      </w:pPr>
      <w:r>
        <w:t>Mines</w:t>
      </w:r>
    </w:p>
    <w:p w14:paraId="1B4372AD" w14:textId="7D363CB4" w:rsidR="00853887" w:rsidRDefault="00853887" w:rsidP="00853887">
      <w:r w:rsidRPr="00853887">
        <w:t>The most comprehensive source of uranium mining spatial data is the Uranium Location Database Compilation (ULDB) by the US Environmental Protection Agency (EPA)</w:t>
      </w:r>
      <w:r>
        <w:t xml:space="preserve"> </w:t>
      </w:r>
      <w:r>
        <w:fldChar w:fldCharType="begin"/>
      </w:r>
      <w:r>
        <w:instrText xml:space="preserve"> ADDIN ZOTERO_ITEM CSL_CITATION {"citationID":"zT8GSyue","properties":{"formattedCitation":"[15]","plainCitation":"[15]","noteIndex":0},"citationItems":[{"id":25000,"uris":["http://zotero.org/users/13422981/items/FP3N5VEA"],"itemData":{"id":25000,"type":"dataset","abstract":"The Environmental Protection Agency’s (EPA) Radiation Protection Division works to address hazards posed by technologically enhanced naturally occurring radioactive materials (TENORM). As one part of EPA’s efforts to characterize risk from TENORM sources and to identify where TENORM problems may exist, we have been investigating the potential environmental hazards of wastes from abandoned uranium mines in the western United States. Between the 1940s and 1990s, thousands of uranium mines operated in the United States, mostly in the western continental U.S., leaving a legacy of potential radiological and chemical hazards.","citation-key":"USEPA_2006","language":"en","source":"Zotero","title":"Uranium Location Database Compilation","author":[{"literal":"US EPA"}],"issued":{"date-parts":[["2006",8]]}}}],"schema":"https://github.com/citation-style-language/schema/raw/master/csl-citation.json"} </w:instrText>
      </w:r>
      <w:r>
        <w:fldChar w:fldCharType="separate"/>
      </w:r>
      <w:r w:rsidRPr="00853887">
        <w:rPr>
          <w:rFonts w:cs="Times New Roman"/>
        </w:rPr>
        <w:t>[15]</w:t>
      </w:r>
      <w:r>
        <w:fldChar w:fldCharType="end"/>
      </w:r>
      <w:r>
        <w:t>.</w:t>
      </w:r>
      <w:r w:rsidRPr="00853887">
        <w:t xml:space="preserve"> The ULDB is a compilation of 19 other databases, with data originating from the US Geological Survey, Atomic Energy Commission, Forest Service, Bureau of Land Management, and state-managed inventories. From these 19 databases, over 22,000 locations were compiled, with roughly 8,000 sites removed as duplicate records</w:t>
      </w:r>
      <w:r>
        <w:rPr>
          <w:rStyle w:val="FootnoteReference"/>
        </w:rPr>
        <w:footnoteReference w:id="5"/>
      </w:r>
      <w:r w:rsidRPr="00853887">
        <w:t xml:space="preserve">. While the ULDB's </w:t>
      </w:r>
      <w:proofErr w:type="gramStart"/>
      <w:r w:rsidRPr="00853887">
        <w:t>documentation</w:t>
      </w:r>
      <w:proofErr w:type="gramEnd"/>
      <w:r w:rsidRPr="00853887">
        <w:t xml:space="preserve"> states that this compilation should not necessarily be considered as complete (a persistent limitation within this work </w:t>
      </w:r>
      <w:r>
        <w:t>that is regularly acknowledged</w:t>
      </w:r>
      <w:r w:rsidRPr="00853887">
        <w:t xml:space="preserve">), a unique limitation is the inclusion of extraneous sites. It is very likely that this database includes locations where no uranium was ever produced, such as in the case of </w:t>
      </w:r>
      <w:proofErr w:type="gramStart"/>
      <w:r w:rsidRPr="00853887">
        <w:t>exploratory</w:t>
      </w:r>
      <w:proofErr w:type="gramEnd"/>
      <w:r w:rsidRPr="00853887">
        <w:t xml:space="preserve"> boreholes that were recorded by </w:t>
      </w:r>
      <w:r>
        <w:t xml:space="preserve">a </w:t>
      </w:r>
      <w:r w:rsidRPr="00853887">
        <w:t>state but never went on to produce uranium.</w:t>
      </w:r>
    </w:p>
    <w:p w14:paraId="7B607B91" w14:textId="25831E87" w:rsidR="00853887" w:rsidRDefault="00853887" w:rsidP="00853887">
      <w:r w:rsidRPr="00853887">
        <w:t>To remedy the inclusion of extraneous sites, each location was given a score based on the certainty of whether mining-related activity occurred on site. This "reliability score" was measured on a scale of 1 to 10 and was constructed from 10 binary flags. The 10 reliability flags given by the EPA are as follows:</w:t>
      </w:r>
    </w:p>
    <w:p w14:paraId="7CEE1F33" w14:textId="29BA04AB" w:rsidR="00853887" w:rsidRDefault="00853887" w:rsidP="00853887">
      <w:pPr>
        <w:pStyle w:val="ListParagraph"/>
        <w:numPr>
          <w:ilvl w:val="0"/>
          <w:numId w:val="11"/>
        </w:numPr>
      </w:pPr>
      <w:r>
        <w:t>The mine has a non-blank name</w:t>
      </w:r>
    </w:p>
    <w:p w14:paraId="3E237614" w14:textId="6F92F631" w:rsidR="00853887" w:rsidRDefault="00853887" w:rsidP="00853887">
      <w:pPr>
        <w:pStyle w:val="ListParagraph"/>
        <w:numPr>
          <w:ilvl w:val="0"/>
          <w:numId w:val="11"/>
        </w:numPr>
      </w:pPr>
      <w:r>
        <w:t>The mine has a non-generic name (e.g., “Uranium Prospect” as a generic name)</w:t>
      </w:r>
    </w:p>
    <w:p w14:paraId="17C1D5DF" w14:textId="1360E27E" w:rsidR="00853887" w:rsidRDefault="00853887" w:rsidP="00853887">
      <w:pPr>
        <w:pStyle w:val="ListParagraph"/>
        <w:numPr>
          <w:ilvl w:val="0"/>
          <w:numId w:val="11"/>
        </w:numPr>
      </w:pPr>
      <w:r>
        <w:t>The mine has a unique coordinate pair among its native database (e.g., checks within the US Geological Survey record)</w:t>
      </w:r>
    </w:p>
    <w:p w14:paraId="01F217EB" w14:textId="5854CC49" w:rsidR="00853887" w:rsidRDefault="00853887" w:rsidP="00853887">
      <w:pPr>
        <w:pStyle w:val="ListParagraph"/>
        <w:numPr>
          <w:ilvl w:val="0"/>
          <w:numId w:val="11"/>
        </w:numPr>
      </w:pPr>
      <w:r>
        <w:t>The mine has a unique coordinate pair among all other databases</w:t>
      </w:r>
    </w:p>
    <w:p w14:paraId="25B9F446" w14:textId="587E9737" w:rsidR="00853887" w:rsidRDefault="00853887" w:rsidP="00853887">
      <w:pPr>
        <w:pStyle w:val="ListParagraph"/>
        <w:numPr>
          <w:ilvl w:val="0"/>
          <w:numId w:val="11"/>
        </w:numPr>
      </w:pPr>
      <w:r>
        <w:t>The mine consists of the only uranium activity within 1.5 miles</w:t>
      </w:r>
    </w:p>
    <w:p w14:paraId="30A00B9D" w14:textId="6A3EC6D3" w:rsidR="00853887" w:rsidRDefault="00853887" w:rsidP="00853887">
      <w:pPr>
        <w:pStyle w:val="ListParagraph"/>
        <w:numPr>
          <w:ilvl w:val="0"/>
          <w:numId w:val="11"/>
        </w:numPr>
      </w:pPr>
      <w:r>
        <w:t>The mine’s data source has documentation</w:t>
      </w:r>
    </w:p>
    <w:p w14:paraId="5D8CD40B" w14:textId="6F825450" w:rsidR="00853887" w:rsidRDefault="00853887" w:rsidP="00853887">
      <w:pPr>
        <w:pStyle w:val="ListParagraph"/>
        <w:numPr>
          <w:ilvl w:val="0"/>
          <w:numId w:val="11"/>
        </w:numPr>
      </w:pPr>
      <w:r>
        <w:t>The mine shares a precise name with a site listed in the Atomic Energy Commission’s record (note this record only includes sites in Utah, Arizona, Colorado, and New Mexico)</w:t>
      </w:r>
    </w:p>
    <w:p w14:paraId="33055B0A" w14:textId="4AEE7C71" w:rsidR="00853887" w:rsidRDefault="00853887" w:rsidP="00853887">
      <w:pPr>
        <w:pStyle w:val="ListParagraph"/>
        <w:numPr>
          <w:ilvl w:val="0"/>
          <w:numId w:val="11"/>
        </w:numPr>
      </w:pPr>
      <w:r w:rsidRPr="00853887">
        <w:lastRenderedPageBreak/>
        <w:t>The mine's record is not known to have originated from the US Geological Survey database (previously the most comprehensive record, with roughly 8,000 locations)</w:t>
      </w:r>
    </w:p>
    <w:p w14:paraId="4C84749A" w14:textId="55FF9D37" w:rsidR="00853887" w:rsidRDefault="00853887" w:rsidP="00853887">
      <w:pPr>
        <w:pStyle w:val="ListParagraph"/>
        <w:numPr>
          <w:ilvl w:val="0"/>
          <w:numId w:val="11"/>
        </w:numPr>
      </w:pPr>
      <w:r w:rsidRPr="00853887">
        <w:t>The mine's coordinate pair was located within the state of record, if a state was listed (e.g., a mine with the coordinates 42.291, -83.714, and a recorded state of New Mexico would not receive this flag)</w:t>
      </w:r>
    </w:p>
    <w:p w14:paraId="734B04EA" w14:textId="4E246456" w:rsidR="00853887" w:rsidRDefault="00853887" w:rsidP="00853887">
      <w:r w:rsidRPr="00853887">
        <w:t xml:space="preserve">For the comprehensive demographic analysis, all sites were considered regardless of reliability score. Reliability scores were taken as a metric in sensitivity analysis, which is discussed in </w:t>
      </w:r>
      <w:r w:rsidRPr="00853887">
        <w:rPr>
          <w:rStyle w:val="Cross-ReferenceChar"/>
        </w:rPr>
        <w:fldChar w:fldCharType="begin"/>
      </w:r>
      <w:r w:rsidRPr="00853887">
        <w:rPr>
          <w:rStyle w:val="Cross-ReferenceChar"/>
        </w:rPr>
        <w:instrText xml:space="preserve"> REF _Ref220408465 \r \h  \* MERGEFORMAT </w:instrText>
      </w:r>
      <w:r w:rsidRPr="00853887">
        <w:rPr>
          <w:rStyle w:val="Cross-ReferenceChar"/>
        </w:rPr>
      </w:r>
      <w:r w:rsidRPr="00853887">
        <w:rPr>
          <w:rStyle w:val="Cross-ReferenceChar"/>
        </w:rPr>
        <w:fldChar w:fldCharType="separate"/>
      </w:r>
      <w:r w:rsidRPr="00853887">
        <w:rPr>
          <w:rStyle w:val="Cross-ReferenceChar"/>
        </w:rPr>
        <w:t>3.3.3</w:t>
      </w:r>
      <w:r w:rsidRPr="00853887">
        <w:rPr>
          <w:rStyle w:val="Cross-ReferenceChar"/>
        </w:rPr>
        <w:fldChar w:fldCharType="end"/>
      </w:r>
      <w:r w:rsidRPr="00853887">
        <w:t xml:space="preserve">. While the importance and interpretation of the reliability scores are likewise discussed in </w:t>
      </w:r>
      <w:r w:rsidRPr="00853887">
        <w:rPr>
          <w:rStyle w:val="Cross-ReferenceChar"/>
        </w:rPr>
        <w:fldChar w:fldCharType="begin"/>
      </w:r>
      <w:r w:rsidRPr="00853887">
        <w:rPr>
          <w:rStyle w:val="Cross-ReferenceChar"/>
        </w:rPr>
        <w:instrText xml:space="preserve"> REF _Ref220408465 \r \h </w:instrText>
      </w:r>
      <w:r>
        <w:rPr>
          <w:rStyle w:val="Cross-ReferenceChar"/>
        </w:rPr>
        <w:instrText xml:space="preserve"> \* MERGEFORMAT </w:instrText>
      </w:r>
      <w:r w:rsidRPr="00853887">
        <w:rPr>
          <w:rStyle w:val="Cross-ReferenceChar"/>
        </w:rPr>
      </w:r>
      <w:r w:rsidRPr="00853887">
        <w:rPr>
          <w:rStyle w:val="Cross-ReferenceChar"/>
        </w:rPr>
        <w:fldChar w:fldCharType="separate"/>
      </w:r>
      <w:r w:rsidRPr="00853887">
        <w:rPr>
          <w:rStyle w:val="Cross-ReferenceChar"/>
        </w:rPr>
        <w:t>3.3.3</w:t>
      </w:r>
      <w:r w:rsidRPr="00853887">
        <w:rPr>
          <w:rStyle w:val="Cross-ReferenceChar"/>
        </w:rPr>
        <w:fldChar w:fldCharType="end"/>
      </w:r>
      <w:r>
        <w:t xml:space="preserve"> </w:t>
      </w:r>
      <w:r w:rsidRPr="00853887">
        <w:t xml:space="preserve">and </w:t>
      </w:r>
      <w:r w:rsidRPr="00853887">
        <w:rPr>
          <w:rStyle w:val="Cross-ReferenceChar"/>
        </w:rPr>
        <w:fldChar w:fldCharType="begin"/>
      </w:r>
      <w:r w:rsidRPr="00853887">
        <w:rPr>
          <w:rStyle w:val="Cross-ReferenceChar"/>
        </w:rPr>
        <w:instrText xml:space="preserve"> REF _Ref220408508 \r \h </w:instrText>
      </w:r>
      <w:r>
        <w:rPr>
          <w:rStyle w:val="Cross-ReferenceChar"/>
        </w:rPr>
        <w:instrText xml:space="preserve"> \* MERGEFORMAT </w:instrText>
      </w:r>
      <w:r w:rsidRPr="00853887">
        <w:rPr>
          <w:rStyle w:val="Cross-ReferenceChar"/>
        </w:rPr>
      </w:r>
      <w:r w:rsidRPr="00853887">
        <w:rPr>
          <w:rStyle w:val="Cross-ReferenceChar"/>
        </w:rPr>
        <w:fldChar w:fldCharType="separate"/>
      </w:r>
      <w:r w:rsidRPr="00853887">
        <w:rPr>
          <w:rStyle w:val="Cross-ReferenceChar"/>
        </w:rPr>
        <w:t>4.3</w:t>
      </w:r>
      <w:r w:rsidRPr="00853887">
        <w:rPr>
          <w:rStyle w:val="Cross-ReferenceChar"/>
        </w:rPr>
        <w:fldChar w:fldCharType="end"/>
      </w:r>
      <w:r w:rsidRPr="00853887">
        <w:t>, we simply note here that a location with reliability score 10 does not necessarily mean uranium was produced on site, and a location with reliability score 1 does not necessarily mean no activity occurred.</w:t>
      </w:r>
    </w:p>
    <w:p w14:paraId="0DB41B32" w14:textId="358D8413" w:rsidR="0078432C" w:rsidRDefault="0078432C" w:rsidP="0078432C">
      <w:pPr>
        <w:rPr>
          <w:rStyle w:val="Cross-ReferenceChar"/>
        </w:rPr>
      </w:pPr>
      <w:commentRangeStart w:id="2"/>
      <w:r w:rsidRPr="0078432C">
        <w:t>Since</w:t>
      </w:r>
      <w:commentRangeEnd w:id="2"/>
      <w:r w:rsidR="00923130">
        <w:rPr>
          <w:rStyle w:val="CommentReference"/>
        </w:rPr>
        <w:commentReference w:id="2"/>
      </w:r>
      <w:r w:rsidRPr="0078432C">
        <w:t xml:space="preserve"> the publication of the ULDB in 2006, </w:t>
      </w:r>
      <w:r w:rsidRPr="0078432C">
        <w:rPr>
          <w:highlight w:val="yellow"/>
        </w:rPr>
        <w:t>XXX new uranium recovery sites have opened in the US, all of which are in-situ recovery (ISR) facilities.</w:t>
      </w:r>
      <w:r w:rsidRPr="0078432C">
        <w:t xml:space="preserve"> For the sake of this analysis, ISR facilities are considered mills as opposed to mines, as the production of tailings and </w:t>
      </w:r>
      <w:r w:rsidR="00923130">
        <w:t>U</w:t>
      </w:r>
      <w:r w:rsidR="00923130">
        <w:rPr>
          <w:vertAlign w:val="subscript"/>
        </w:rPr>
        <w:t>3</w:t>
      </w:r>
      <w:r w:rsidR="00923130">
        <w:t>O</w:t>
      </w:r>
      <w:r w:rsidR="00923130">
        <w:rPr>
          <w:vertAlign w:val="subscript"/>
        </w:rPr>
        <w:t>8</w:t>
      </w:r>
      <w:r w:rsidR="00923130">
        <w:t xml:space="preserve"> </w:t>
      </w:r>
      <w:r w:rsidRPr="0078432C">
        <w:t xml:space="preserve">more closely aligns them with the former. While the EPA reports that the ULDB contains data on uranium mills, there is no documentation as </w:t>
      </w:r>
      <w:r w:rsidR="00923130" w:rsidRPr="0078432C">
        <w:t>to</w:t>
      </w:r>
      <w:r w:rsidRPr="0078432C">
        <w:t xml:space="preserve"> whether any given site is a mill or a mine. Thus, it was assumed that all sites in the ULDB were mines, </w:t>
      </w:r>
      <w:r w:rsidRPr="00923130">
        <w:rPr>
          <w:highlight w:val="yellow"/>
        </w:rPr>
        <w:t>and the XXX new ISR sites since 2006</w:t>
      </w:r>
      <w:r w:rsidRPr="0078432C">
        <w:t xml:space="preserve"> were recorded as mills within </w:t>
      </w:r>
      <w:r w:rsidR="00923130" w:rsidRPr="00923130">
        <w:rPr>
          <w:rStyle w:val="Cross-ReferenceChar"/>
        </w:rPr>
        <w:fldChar w:fldCharType="begin"/>
      </w:r>
      <w:r w:rsidR="00923130" w:rsidRPr="00923130">
        <w:rPr>
          <w:rStyle w:val="Cross-ReferenceChar"/>
        </w:rPr>
        <w:instrText xml:space="preserve"> REF _Ref220409059 \r \h </w:instrText>
      </w:r>
      <w:r w:rsidR="00923130">
        <w:rPr>
          <w:rStyle w:val="Cross-ReferenceChar"/>
        </w:rPr>
        <w:instrText xml:space="preserve"> \* MERGEFORMAT </w:instrText>
      </w:r>
      <w:r w:rsidR="00923130" w:rsidRPr="00923130">
        <w:rPr>
          <w:rStyle w:val="Cross-ReferenceChar"/>
        </w:rPr>
      </w:r>
      <w:r w:rsidR="00923130" w:rsidRPr="00923130">
        <w:rPr>
          <w:rStyle w:val="Cross-ReferenceChar"/>
        </w:rPr>
        <w:fldChar w:fldCharType="separate"/>
      </w:r>
      <w:r w:rsidR="00923130" w:rsidRPr="00923130">
        <w:rPr>
          <w:rStyle w:val="Cross-ReferenceChar"/>
        </w:rPr>
        <w:t>3.1.3</w:t>
      </w:r>
      <w:r w:rsidR="00923130" w:rsidRPr="00923130">
        <w:rPr>
          <w:rStyle w:val="Cross-ReferenceChar"/>
        </w:rPr>
        <w:fldChar w:fldCharType="end"/>
      </w:r>
      <w:r w:rsidR="00923130">
        <w:rPr>
          <w:rStyle w:val="Cross-ReferenceChar"/>
        </w:rPr>
        <w:t>.</w:t>
      </w:r>
    </w:p>
    <w:p w14:paraId="45F0C32C" w14:textId="6C0B127E" w:rsidR="00923130" w:rsidRPr="00853887" w:rsidRDefault="00923130" w:rsidP="0078432C">
      <w:r w:rsidRPr="00923130">
        <w:t>While the main objective of this work is to compare the socioeconomic makeup of communities near nuclear facilities to those not, it would be improper to compare mining communities to \</w:t>
      </w:r>
      <w:proofErr w:type="spellStart"/>
      <w:r w:rsidRPr="00923130">
        <w:t>textit</w:t>
      </w:r>
      <w:proofErr w:type="spellEnd"/>
      <w:r w:rsidRPr="00923130">
        <w:t xml:space="preserve">{all} communities in the US. This is solely because not every community resides on land favorable to uranium extraction. Thus, we also include the Energy Information Agency's (EIA) 2019 National Uranium Resource Evaluation (NURE) Favorable Areas </w:t>
      </w:r>
      <w:r w:rsidRPr="00923130">
        <w:rPr>
          <w:rStyle w:val="CitationChar"/>
        </w:rPr>
        <w:fldChar w:fldCharType="begin"/>
      </w:r>
      <w:r w:rsidRPr="00923130">
        <w:rPr>
          <w:rStyle w:val="CitationChar"/>
        </w:rPr>
        <w:instrText xml:space="preserve"> ADDIN ZOTERO_ITEM CSL_CITATION {"citationID":"MKzdZF9E","properties":{"formattedCitation":"[16]","plainCitation":"[16]","noteIndex":0},"citationItems":[{"id":25041,"uris":["http://zotero.org/users/13422981/items/MIICLFAV"],"itemData":{"id":25041,"type":"dataset","citation-key":"MihalaskyEtAl_2019","title":"US Uranium NURE Favorable Areas","author":[{"family":"Mihalasky","given":"Mark J"},{"family":"Hall","given":"Susan M"},{"family":"Zielinski","given":"Robert A"}],"issued":{"date-parts":[["2019",2]]}}}],"schema":"https://github.com/citation-style-language/schema/raw/master/csl-citation.json"} </w:instrText>
      </w:r>
      <w:r w:rsidRPr="00923130">
        <w:rPr>
          <w:rStyle w:val="CitationChar"/>
        </w:rPr>
        <w:fldChar w:fldCharType="separate"/>
      </w:r>
      <w:r w:rsidRPr="00923130">
        <w:rPr>
          <w:rStyle w:val="CitationChar"/>
        </w:rPr>
        <w:t>[16]</w:t>
      </w:r>
      <w:r w:rsidRPr="00923130">
        <w:rPr>
          <w:rStyle w:val="CitationChar"/>
        </w:rPr>
        <w:fldChar w:fldCharType="end"/>
      </w:r>
      <w:r>
        <w:t xml:space="preserve"> </w:t>
      </w:r>
      <w:r w:rsidRPr="00923130">
        <w:t>as a baseline population reference. The Favorable Areas database includes forecasted (i.e., unprospected) uranium reserves and is complemented by the Identified Resources Area (i.e., prospected) and Associated with Phosphate databases. The Favorable Areas database was chosen as the primary source of uranium reserves as a) the Identified Resource Area only contains data from Colorado, Utah, Wyoming, Arizona, New Mexico, and Virginia, whereas the Favorable Areas include 26 additional states and b) uranium recovery from phosphates is an uncommon and currently unpracticed recovery method.</w:t>
      </w:r>
    </w:p>
    <w:p w14:paraId="1A6C7C6A" w14:textId="76A06B3D" w:rsidR="00933B2C" w:rsidRDefault="00933B2C" w:rsidP="00933B2C">
      <w:pPr>
        <w:pStyle w:val="Heading3"/>
      </w:pPr>
      <w:bookmarkStart w:id="3" w:name="_Ref220409059"/>
      <w:r>
        <w:t>Fuel processing</w:t>
      </w:r>
      <w:bookmarkEnd w:id="3"/>
    </w:p>
    <w:p w14:paraId="54D3628E" w14:textId="48E03D84" w:rsidR="00BC2DAE" w:rsidRDefault="00BC2DAE" w:rsidP="00BC2DAE">
      <w:r>
        <w:t xml:space="preserve">The primary source of data for fuel processing facilities is the Nuclear Fuel Cycle Facilities Database (NFCDB), administered by the International Atomic Energy Agency (IAEA) </w:t>
      </w:r>
      <w:r>
        <w:fldChar w:fldCharType="begin"/>
      </w:r>
      <w:r>
        <w:instrText xml:space="preserve"> ADDIN ZOTERO_ITEM CSL_CITATION {"citationID":"Pp5BMoxO","properties":{"formattedCitation":"[17]","plainCitation":"[17]","noteIndex":0},"citationItems":[{"id":24025,"uris":["http://zotero.org/users/13422981/items/BNECF5GS"],"itemData":{"id":24025,"type":"dataset","citation-key":"IAEA_2023","title":"Nuclear Fuel Cycle Facilities Database","URL":"https://infcis.iaea.org/NFCFDB","author":[{"family":"IAEA","given":""}],"issued":{"date-parts":[["2023"]]}}}],"schema":"https://github.com/citation-style-language/schema/raw/master/csl-citation.json"} </w:instrText>
      </w:r>
      <w:r>
        <w:fldChar w:fldCharType="separate"/>
      </w:r>
      <w:r w:rsidRPr="00BC2DAE">
        <w:rPr>
          <w:rFonts w:cs="Times New Roman"/>
        </w:rPr>
        <w:t>[17]</w:t>
      </w:r>
      <w:r>
        <w:fldChar w:fldCharType="end"/>
      </w:r>
      <w:r>
        <w:t xml:space="preserve">. The NFCDB catalogs 7 types of facilities (spent fuel storage, conversion, fuel fabrication, reprocessing, enrichment, mills, and uranium recovery from phosphates), facility names, production capacity, whether the facility was for commercial or research use, and the facility's operating dates. Notably </w:t>
      </w:r>
      <w:r>
        <w:lastRenderedPageBreak/>
        <w:t>this is to the exclusion of precise location data, though most sites were tagged with a state, county, or city. Many data from the NFCDB were incomplete or inaccurate, and thus it was also necessary to verify or correct operational dates and statuses.</w:t>
      </w:r>
    </w:p>
    <w:p w14:paraId="4C78B3A2" w14:textId="30AE0036" w:rsidR="00BC2DAE" w:rsidRDefault="00BC2DAE" w:rsidP="00BC2DAE">
      <w:r>
        <w:t>The NFCDB lists 194 fuel cycle facilities, 59 of which were commercial spent fuel installations and 30 of which were designated as a laboratory facility, non-commercial pilot plant, or non-nuclear operations (e.g., zirconium rod production). This then left 105 facilities for primary screening and verification.</w:t>
      </w:r>
    </w:p>
    <w:p w14:paraId="037E26F1" w14:textId="6CB8F551" w:rsidR="00184B3F" w:rsidRDefault="00BC2DAE" w:rsidP="00BC2DAE">
      <w:r>
        <w:t>Primary screening of the 105 NFCDB facilities included the verification of facility names, operating dates,</w:t>
      </w:r>
      <w:r w:rsidR="006958C3">
        <w:t xml:space="preserve"> and </w:t>
      </w:r>
      <w:r>
        <w:t>present-day operational status</w:t>
      </w:r>
      <w:r w:rsidR="00184B3F">
        <w:t xml:space="preserve">. </w:t>
      </w:r>
      <w:r w:rsidR="006958C3">
        <w:t>Data sources f</w:t>
      </w:r>
      <w:r w:rsidR="00882E8A">
        <w:t>or</w:t>
      </w:r>
      <w:r w:rsidR="006958C3">
        <w:t xml:space="preserve"> this primary screening included reports by the EPA (e.g., </w:t>
      </w:r>
      <w:r w:rsidR="008425E9" w:rsidRPr="008425E9">
        <w:rPr>
          <w:rStyle w:val="CitationChar"/>
        </w:rPr>
        <w:fldChar w:fldCharType="begin"/>
      </w:r>
      <w:r w:rsidR="008425E9" w:rsidRPr="008425E9">
        <w:rPr>
          <w:rStyle w:val="CitationChar"/>
        </w:rPr>
        <w:instrText xml:space="preserve"> ADDIN ZOTERO_ITEM CSL_CITATION {"citationID":"I5YGE1qE","properties":{"formattedCitation":"[18]","plainCitation":"[18]","noteIndex":0},"citationItems":[{"id":25070,"uris":["http://zotero.org/users/13422981/items/8BSW73XU"],"itemData":{"id":25070,"type":"report","citation-key":"Littleton_2011","collection-number":"1-06, Task 5","collection-title":"EP-D-10-042","language":"en","publisher":"US EPA","source":"Zotero","title":"Risk Assessment Revision for 40 CFR Part 61 Subpart W – Radon Emissions from Operating Mill Tailings – Task 4 – Detailed Risk Estimates","URL":"https://www.epa.gov/sites/default/files/2015-05/documents/subpart-w-risk.pdf","author":[{"family":"Littleton","given":"Brian"}],"issued":{"date-parts":[["2011",11,10]]}}}],"schema":"https://github.com/citation-style-language/schema/raw/master/csl-citation.json"} </w:instrText>
      </w:r>
      <w:r w:rsidR="008425E9" w:rsidRPr="008425E9">
        <w:rPr>
          <w:rStyle w:val="CitationChar"/>
        </w:rPr>
        <w:fldChar w:fldCharType="separate"/>
      </w:r>
      <w:r w:rsidR="008425E9" w:rsidRPr="008425E9">
        <w:rPr>
          <w:rStyle w:val="CitationChar"/>
        </w:rPr>
        <w:t>[18]</w:t>
      </w:r>
      <w:r w:rsidR="008425E9" w:rsidRPr="008425E9">
        <w:rPr>
          <w:rStyle w:val="CitationChar"/>
        </w:rPr>
        <w:fldChar w:fldCharType="end"/>
      </w:r>
      <w:r w:rsidR="006958C3">
        <w:t xml:space="preserve">) and DOE (e.g., </w:t>
      </w:r>
      <w:r w:rsidR="008A71DE" w:rsidRPr="008A71DE">
        <w:rPr>
          <w:rStyle w:val="CitationChar"/>
        </w:rPr>
        <w:fldChar w:fldCharType="begin"/>
      </w:r>
      <w:r w:rsidR="00882E8A">
        <w:rPr>
          <w:rStyle w:val="CitationChar"/>
        </w:rPr>
        <w:instrText xml:space="preserve"> ADDIN ZOTERO_ITEM CSL_CITATION {"citationID":"fFs8V2YD","properties":{"formattedCitation":"[19]","plainCitation":"[19]","noteIndex":0},"citationItems":[{"id":25072,"uris":["http://zotero.org/users/13422981/items/PDBEYGBC"],"itemData":{"id":25072,"type":"report","citation-key":"USDepartmentofEnergy_","collection-number":"MAC 01-06","collection-title":"DE-AC13-96GJ87335","number":"S00204","publisher-place":"Grand Junction, CO","title":"Long-Term Surveillance Plan for the Sherwood Project (UMTRCA Title II) Reclamation Cell","URL":"https://lmpublicsearch.lm.doe.gov/lmsites/2902-ltsp_sherwood.pdf","author":[{"family":"US Department of Energy","given":""}],"accessed":{"date-parts":[["2026",2,2]]}}}],"schema":"https://github.com/citation-style-language/schema/raw/master/csl-citation.json"} </w:instrText>
      </w:r>
      <w:r w:rsidR="008A71DE" w:rsidRPr="008A71DE">
        <w:rPr>
          <w:rStyle w:val="CitationChar"/>
        </w:rPr>
        <w:fldChar w:fldCharType="separate"/>
      </w:r>
      <w:r w:rsidR="00882E8A" w:rsidRPr="00882E8A">
        <w:rPr>
          <w:rFonts w:cs="Times New Roman"/>
        </w:rPr>
        <w:t>[19]</w:t>
      </w:r>
      <w:r w:rsidR="008A71DE" w:rsidRPr="008A71DE">
        <w:rPr>
          <w:rStyle w:val="CitationChar"/>
        </w:rPr>
        <w:fldChar w:fldCharType="end"/>
      </w:r>
      <w:r w:rsidR="006958C3">
        <w:t xml:space="preserve">), filings with the NRC (e.g., </w:t>
      </w:r>
      <w:r w:rsidR="008425E9" w:rsidRPr="008A71DE">
        <w:rPr>
          <w:rStyle w:val="CitationChar"/>
        </w:rPr>
        <w:fldChar w:fldCharType="begin"/>
      </w:r>
      <w:r w:rsidR="00882E8A">
        <w:rPr>
          <w:rStyle w:val="CitationChar"/>
        </w:rPr>
        <w:instrText xml:space="preserve"> ADDIN ZOTERO_ITEM CSL_CITATION {"citationID":"p1a459iR","properties":{"formattedCitation":"[20]","plainCitation":"[20]","noteIndex":0},"citationItems":[{"id":25068,"uris":["http://zotero.org/users/13422981/items/CZ7MLXI6"],"itemData":{"id":25068,"type":"document","archive":"NRC ADAMS","archive_location":"ML20217D080","citation-key":"Jensen_1998","title":"In the Matter of Louisiana Energy Services","URL":"https://www.nrc.gov/docs/ML2021/ML20217D080.pdf","author":[{"family":"Jensen","given":"Roland"}],"accessed":{"date-parts":[["2026",2,2]]},"issued":{"date-parts":[["1998",4,22]]}}}],"schema":"https://github.com/citation-style-language/schema/raw/master/csl-citation.json"} </w:instrText>
      </w:r>
      <w:r w:rsidR="008425E9" w:rsidRPr="008A71DE">
        <w:rPr>
          <w:rStyle w:val="CitationChar"/>
        </w:rPr>
        <w:fldChar w:fldCharType="separate"/>
      </w:r>
      <w:r w:rsidR="00882E8A" w:rsidRPr="00882E8A">
        <w:rPr>
          <w:rFonts w:cs="Times New Roman"/>
        </w:rPr>
        <w:t>[20]</w:t>
      </w:r>
      <w:r w:rsidR="008425E9" w:rsidRPr="008A71DE">
        <w:rPr>
          <w:rStyle w:val="CitationChar"/>
        </w:rPr>
        <w:fldChar w:fldCharType="end"/>
      </w:r>
      <w:r w:rsidR="006958C3">
        <w:t xml:space="preserve">) and Securities &amp; Exchange Commission (SEC) (e.g., </w:t>
      </w:r>
      <w:r w:rsidR="00882E8A">
        <w:fldChar w:fldCharType="begin"/>
      </w:r>
      <w:r w:rsidR="003720E9">
        <w:instrText xml:space="preserve"> ADDIN ZOTERO_ITEM CSL_CITATION {"citationID":"KN1DQKva","properties":{"formattedCitation":"[21]","plainCitation":"[21]","noteIndex":0},"citationItems":[{"id":25075,"uris":["http://zotero.org/users/13422981/items/GUVGI5RS"],"itemData":{"id":25075,"type":"report","citation-key":"McDowellMoores_2025","genre":"Exhibit","number":"96.1","publisher":"Securities &amp; Exchanges Commission","title":"Technical Report on the South Texas Integrated Uranium Projects","URL":"https://www.sec.gov/Archives/edgar/data/1500881/000119312525037583/d893278dex961.htm","author":[{"family":"McDowell","given":"Christopher"},{"family":"Moores","given":"Ray"}],"accessed":{"date-parts":[["2026",2,2]]},"issued":{"date-parts":[["2025",2,13]]}}}],"schema":"https://github.com/citation-style-language/schema/raw/master/csl-citation.json"} </w:instrText>
      </w:r>
      <w:r w:rsidR="00882E8A">
        <w:fldChar w:fldCharType="separate"/>
      </w:r>
      <w:r w:rsidR="00882E8A" w:rsidRPr="00882E8A">
        <w:rPr>
          <w:rFonts w:cs="Times New Roman"/>
        </w:rPr>
        <w:t>[21]</w:t>
      </w:r>
      <w:r w:rsidR="00882E8A">
        <w:fldChar w:fldCharType="end"/>
      </w:r>
      <w:r w:rsidR="006958C3">
        <w:t>), and public information</w:t>
      </w:r>
      <w:r w:rsidR="00882E8A">
        <w:t xml:space="preserve"> &amp; reports</w:t>
      </w:r>
      <w:r w:rsidR="006958C3">
        <w:t xml:space="preserve"> published by project developers (e.g., </w:t>
      </w:r>
      <w:r w:rsidR="00882E8A">
        <w:fldChar w:fldCharType="begin"/>
      </w:r>
      <w:r w:rsidR="00882E8A">
        <w:instrText xml:space="preserve"> ADDIN ZOTERO_ITEM CSL_CITATION {"citationID":"fobwysuA","properties":{"formattedCitation":"[22]","plainCitation":"[22]","noteIndex":0},"citationItems":[{"id":25074,"uris":["http://zotero.org/users/13422981/items/9BJSYXWH"],"itemData":{"id":25074,"type":"report","citation-key":"Carothers_2008","language":"en","publisher":"Uranium Energy Corporation","source":"Zotero","title":"Technical Report for Uranium Energy Corp's Goliad Project","URL":"https://www.uraniumenergy.com/_resources/reports/goliad_ni43-101.pdf","author":[{"family":"Carothers","given":"Thomas A"}],"issued":{"date-parts":[["2008",3,7]]}}}],"schema":"https://github.com/citation-style-language/schema/raw/master/csl-citation.json"} </w:instrText>
      </w:r>
      <w:r w:rsidR="00882E8A">
        <w:fldChar w:fldCharType="separate"/>
      </w:r>
      <w:r w:rsidR="00882E8A" w:rsidRPr="00882E8A">
        <w:rPr>
          <w:rFonts w:cs="Times New Roman"/>
        </w:rPr>
        <w:t>[22]</w:t>
      </w:r>
      <w:r w:rsidR="00882E8A">
        <w:fldChar w:fldCharType="end"/>
      </w:r>
      <w:r w:rsidR="006958C3">
        <w:t>)</w:t>
      </w:r>
      <w:r w:rsidR="00882E8A">
        <w:t xml:space="preserve">. From these reports and filings, in addition to publicly tagged locations on Google Maps </w:t>
      </w:r>
      <w:r w:rsidR="003720E9">
        <w:t xml:space="preserve">(e.g., </w:t>
      </w:r>
      <w:r w:rsidR="003720E9">
        <w:fldChar w:fldCharType="begin"/>
      </w:r>
      <w:r w:rsidR="003720E9">
        <w:instrText xml:space="preserve"> ADDIN ZOTERO_ITEM CSL_CITATION {"citationID":"eAHl5QWR","properties":{"formattedCitation":"[23]","plainCitation":"[23]","noteIndex":0},"citationItems":[{"id":25078,"uris":["http://zotero.org/users/13422981/items/FZGBLUUE"],"itemData":{"id":25078,"type":"webpage","citation-key":"_q","title":"Mound Laboratory &amp; Museum","URL":"https://maps.app.goo.gl/FSF4vmLcMLh2dVEq5"}}],"schema":"https://github.com/citation-style-language/schema/raw/master/csl-citation.json"} </w:instrText>
      </w:r>
      <w:r w:rsidR="003720E9">
        <w:fldChar w:fldCharType="separate"/>
      </w:r>
      <w:r w:rsidR="003720E9" w:rsidRPr="003720E9">
        <w:rPr>
          <w:rFonts w:cs="Times New Roman"/>
        </w:rPr>
        <w:t>[23]</w:t>
      </w:r>
      <w:r w:rsidR="003720E9">
        <w:fldChar w:fldCharType="end"/>
      </w:r>
      <w:r w:rsidR="003720E9">
        <w:t xml:space="preserve">), facility locations were logged </w:t>
      </w:r>
      <w:r w:rsidR="008E37D8">
        <w:t>as</w:t>
      </w:r>
      <w:r w:rsidR="003720E9">
        <w:t xml:space="preserve"> coordinate pairs (EPSG:4326)</w:t>
      </w:r>
      <w:r w:rsidR="008E37D8">
        <w:t xml:space="preserve"> and added to the verified/revised facility data. </w:t>
      </w:r>
    </w:p>
    <w:p w14:paraId="631C2B9C" w14:textId="464B53BE" w:rsidR="008E37D8" w:rsidRDefault="008E37D8" w:rsidP="00BC2DAE">
      <w:r>
        <w:t>Many sites were either multi-use (e.g., the Global Laser Enrichment facility within the Global Nuclear Fuel</w:t>
      </w:r>
      <w:r w:rsidR="00D861B1">
        <w:t>-Americas</w:t>
      </w:r>
      <w:r>
        <w:t xml:space="preserve"> facility in Wilmington, NC) or stopped and started </w:t>
      </w:r>
      <w:proofErr w:type="gramStart"/>
      <w:r>
        <w:t>over time</w:t>
      </w:r>
      <w:proofErr w:type="gramEnd"/>
      <w:r>
        <w:t xml:space="preserve"> </w:t>
      </w:r>
    </w:p>
    <w:p w14:paraId="1F3A83F1" w14:textId="6B7DD0B7" w:rsidR="00882E8A" w:rsidRDefault="00882E8A" w:rsidP="00BC2DAE">
      <w:r>
        <w:t xml:space="preserve">No new sites were added </w:t>
      </w:r>
      <w:r w:rsidR="008E37D8">
        <w:t>during the</w:t>
      </w:r>
      <w:r>
        <w:t xml:space="preserve"> primary screening</w:t>
      </w:r>
      <w:r w:rsidR="008E37D8">
        <w:t xml:space="preserve"> phase</w:t>
      </w:r>
      <w:r>
        <w:t xml:space="preserve">. </w:t>
      </w:r>
    </w:p>
    <w:p w14:paraId="6F6D7463" w14:textId="77777777" w:rsidR="00184B3F" w:rsidRDefault="00184B3F" w:rsidP="00BC2DAE"/>
    <w:p w14:paraId="19EE14BE" w14:textId="2FDEA532" w:rsidR="00184B3F" w:rsidRDefault="00184B3F" w:rsidP="00184B3F">
      <w:pPr>
        <w:pStyle w:val="Caption"/>
      </w:pPr>
      <w:r>
        <w:t xml:space="preserve">Table </w:t>
      </w:r>
      <w:fldSimple w:instr=" SEQ Table \* ARABIC ">
        <w:r>
          <w:rPr>
            <w:noProof/>
          </w:rPr>
          <w:t>1</w:t>
        </w:r>
      </w:fldSimple>
      <w:r>
        <w:t>: Alternative Data Sources for Uranium Recovery Facilities</w:t>
      </w:r>
    </w:p>
    <w:tbl>
      <w:tblPr>
        <w:tblStyle w:val="TableGrid"/>
        <w:tblW w:w="0" w:type="auto"/>
        <w:tblInd w:w="1075" w:type="dxa"/>
        <w:tblLook w:val="04A0" w:firstRow="1" w:lastRow="0" w:firstColumn="1" w:lastColumn="0" w:noHBand="0" w:noVBand="1"/>
      </w:tblPr>
      <w:tblGrid>
        <w:gridCol w:w="2880"/>
        <w:gridCol w:w="2105"/>
        <w:gridCol w:w="1895"/>
      </w:tblGrid>
      <w:tr w:rsidR="004E7728" w14:paraId="03929462" w14:textId="77777777" w:rsidTr="00184B3F">
        <w:tc>
          <w:tcPr>
            <w:tcW w:w="2880" w:type="dxa"/>
          </w:tcPr>
          <w:p w14:paraId="151FC973" w14:textId="0E1EA061" w:rsidR="004E7728" w:rsidRDefault="004E7728" w:rsidP="00BC2DAE">
            <w:r>
              <w:t>Data Source</w:t>
            </w:r>
          </w:p>
        </w:tc>
        <w:tc>
          <w:tcPr>
            <w:tcW w:w="2105" w:type="dxa"/>
          </w:tcPr>
          <w:p w14:paraId="7F7FFA18" w14:textId="2B3AD030" w:rsidR="004E7728" w:rsidRDefault="004E7728" w:rsidP="00BC2DAE">
            <w:r>
              <w:t>Total No. of Sites</w:t>
            </w:r>
          </w:p>
        </w:tc>
        <w:tc>
          <w:tcPr>
            <w:tcW w:w="1895" w:type="dxa"/>
          </w:tcPr>
          <w:p w14:paraId="6BAA6932" w14:textId="6D58AA24" w:rsidR="004E7728" w:rsidRDefault="004E7728" w:rsidP="00BC2DAE">
            <w:r>
              <w:t>Non-IAEA AND Commercial Sites</w:t>
            </w:r>
          </w:p>
        </w:tc>
      </w:tr>
      <w:tr w:rsidR="004E7728" w14:paraId="5DE5CF45" w14:textId="77777777" w:rsidTr="00184B3F">
        <w:tc>
          <w:tcPr>
            <w:tcW w:w="2880" w:type="dxa"/>
          </w:tcPr>
          <w:p w14:paraId="3AB9ACFB" w14:textId="57350776" w:rsidR="004E7728" w:rsidRDefault="004E7728" w:rsidP="004E7728">
            <w:pPr>
              <w:jc w:val="left"/>
            </w:pPr>
            <w:r>
              <w:t>NRC Licensed Facilities</w:t>
            </w:r>
          </w:p>
        </w:tc>
        <w:tc>
          <w:tcPr>
            <w:tcW w:w="2105" w:type="dxa"/>
          </w:tcPr>
          <w:p w14:paraId="002DEA56" w14:textId="653A4E8D" w:rsidR="004E7728" w:rsidRDefault="00184B3F" w:rsidP="00BC2DAE">
            <w:r>
              <w:t>3</w:t>
            </w:r>
          </w:p>
        </w:tc>
        <w:tc>
          <w:tcPr>
            <w:tcW w:w="1895" w:type="dxa"/>
          </w:tcPr>
          <w:p w14:paraId="7C838DDA" w14:textId="08E46286" w:rsidR="004E7728" w:rsidRDefault="00184B3F" w:rsidP="00BC2DAE">
            <w:r>
              <w:t>2</w:t>
            </w:r>
          </w:p>
        </w:tc>
      </w:tr>
      <w:tr w:rsidR="004E7728" w14:paraId="4704090C" w14:textId="77777777" w:rsidTr="00184B3F">
        <w:tc>
          <w:tcPr>
            <w:tcW w:w="2880" w:type="dxa"/>
          </w:tcPr>
          <w:p w14:paraId="544D61A8" w14:textId="18732E05" w:rsidR="004E7728" w:rsidRDefault="004E7728" w:rsidP="004E7728">
            <w:pPr>
              <w:jc w:val="left"/>
            </w:pPr>
            <w:r>
              <w:t>Agreement State Licensed Facilities</w:t>
            </w:r>
          </w:p>
        </w:tc>
        <w:tc>
          <w:tcPr>
            <w:tcW w:w="2105" w:type="dxa"/>
          </w:tcPr>
          <w:p w14:paraId="37A850D5" w14:textId="09F762F7" w:rsidR="004E7728" w:rsidRDefault="00184B3F" w:rsidP="00BC2DAE">
            <w:r>
              <w:t>10</w:t>
            </w:r>
          </w:p>
        </w:tc>
        <w:tc>
          <w:tcPr>
            <w:tcW w:w="1895" w:type="dxa"/>
          </w:tcPr>
          <w:p w14:paraId="4F31DD4F" w14:textId="729C5028" w:rsidR="004E7728" w:rsidRDefault="00184B3F" w:rsidP="00BC2DAE">
            <w:r>
              <w:t>1</w:t>
            </w:r>
          </w:p>
        </w:tc>
      </w:tr>
      <w:tr w:rsidR="004E7728" w14:paraId="7647BF3E" w14:textId="77777777" w:rsidTr="00184B3F">
        <w:tc>
          <w:tcPr>
            <w:tcW w:w="2880" w:type="dxa"/>
          </w:tcPr>
          <w:p w14:paraId="00DBFA0A" w14:textId="68165E67" w:rsidR="004E7728" w:rsidRDefault="004E7728" w:rsidP="004E7728">
            <w:pPr>
              <w:jc w:val="left"/>
            </w:pPr>
            <w:r>
              <w:t>NRC Decommissioning Facilities</w:t>
            </w:r>
          </w:p>
        </w:tc>
        <w:tc>
          <w:tcPr>
            <w:tcW w:w="2105" w:type="dxa"/>
          </w:tcPr>
          <w:p w14:paraId="1213FB99" w14:textId="71BBF1BC" w:rsidR="004E7728" w:rsidRDefault="00184B3F" w:rsidP="00BC2DAE">
            <w:r>
              <w:t>5</w:t>
            </w:r>
          </w:p>
        </w:tc>
        <w:tc>
          <w:tcPr>
            <w:tcW w:w="1895" w:type="dxa"/>
          </w:tcPr>
          <w:p w14:paraId="23A7C545" w14:textId="5235A604" w:rsidR="004E7728" w:rsidRDefault="00184B3F" w:rsidP="00BC2DAE">
            <w:r>
              <w:t>0</w:t>
            </w:r>
          </w:p>
        </w:tc>
      </w:tr>
      <w:tr w:rsidR="004E7728" w14:paraId="75C34F97" w14:textId="77777777" w:rsidTr="00184B3F">
        <w:tc>
          <w:tcPr>
            <w:tcW w:w="2880" w:type="dxa"/>
          </w:tcPr>
          <w:p w14:paraId="45305B44" w14:textId="78F15684" w:rsidR="004E7728" w:rsidRDefault="004E7728" w:rsidP="004E7728">
            <w:pPr>
              <w:jc w:val="left"/>
            </w:pPr>
            <w:r>
              <w:t>Agreement State Decommissioning Facilities</w:t>
            </w:r>
          </w:p>
        </w:tc>
        <w:tc>
          <w:tcPr>
            <w:tcW w:w="2105" w:type="dxa"/>
          </w:tcPr>
          <w:p w14:paraId="6B2A0C6E" w14:textId="72F606AB" w:rsidR="004E7728" w:rsidRDefault="00184B3F" w:rsidP="00BC2DAE">
            <w:r>
              <w:t>13</w:t>
            </w:r>
          </w:p>
        </w:tc>
        <w:tc>
          <w:tcPr>
            <w:tcW w:w="1895" w:type="dxa"/>
          </w:tcPr>
          <w:p w14:paraId="472BC8CE" w14:textId="636AD06B" w:rsidR="004E7728" w:rsidRDefault="00184B3F" w:rsidP="00BC2DAE">
            <w:r>
              <w:t>3</w:t>
            </w:r>
          </w:p>
        </w:tc>
      </w:tr>
      <w:tr w:rsidR="004E7728" w14:paraId="7EA66867" w14:textId="77777777" w:rsidTr="00184B3F">
        <w:tc>
          <w:tcPr>
            <w:tcW w:w="2880" w:type="dxa"/>
          </w:tcPr>
          <w:p w14:paraId="0AE5551A" w14:textId="6B0B939E" w:rsidR="004E7728" w:rsidRDefault="004E7728" w:rsidP="004E7728">
            <w:pPr>
              <w:jc w:val="left"/>
            </w:pPr>
            <w:r>
              <w:t>UMTRCA Title I</w:t>
            </w:r>
          </w:p>
        </w:tc>
        <w:tc>
          <w:tcPr>
            <w:tcW w:w="2105" w:type="dxa"/>
          </w:tcPr>
          <w:p w14:paraId="1AFE7A73" w14:textId="5DA747D9" w:rsidR="004E7728" w:rsidRDefault="00184B3F" w:rsidP="00BC2DAE">
            <w:r>
              <w:t>22</w:t>
            </w:r>
          </w:p>
        </w:tc>
        <w:tc>
          <w:tcPr>
            <w:tcW w:w="1895" w:type="dxa"/>
          </w:tcPr>
          <w:p w14:paraId="2FAC4381" w14:textId="3C4E03FF" w:rsidR="004E7728" w:rsidRDefault="00184B3F" w:rsidP="00BC2DAE">
            <w:r>
              <w:t>12</w:t>
            </w:r>
          </w:p>
        </w:tc>
      </w:tr>
      <w:tr w:rsidR="004E7728" w14:paraId="40F929F6" w14:textId="77777777" w:rsidTr="00184B3F">
        <w:tc>
          <w:tcPr>
            <w:tcW w:w="2880" w:type="dxa"/>
          </w:tcPr>
          <w:p w14:paraId="5C346267" w14:textId="1A5B67FF" w:rsidR="004E7728" w:rsidRDefault="004E7728" w:rsidP="004E7728">
            <w:pPr>
              <w:jc w:val="left"/>
            </w:pPr>
            <w:r>
              <w:t>UMTRCA Title II</w:t>
            </w:r>
          </w:p>
        </w:tc>
        <w:tc>
          <w:tcPr>
            <w:tcW w:w="2105" w:type="dxa"/>
          </w:tcPr>
          <w:p w14:paraId="60B0013A" w14:textId="17FC1499" w:rsidR="004E7728" w:rsidRDefault="00184B3F" w:rsidP="00BC2DAE">
            <w:r>
              <w:t>7</w:t>
            </w:r>
          </w:p>
        </w:tc>
        <w:tc>
          <w:tcPr>
            <w:tcW w:w="1895" w:type="dxa"/>
          </w:tcPr>
          <w:p w14:paraId="5B2BF8EB" w14:textId="3CAEE595" w:rsidR="004E7728" w:rsidRDefault="00184B3F" w:rsidP="00BC2DAE">
            <w:r>
              <w:t>3</w:t>
            </w:r>
          </w:p>
        </w:tc>
      </w:tr>
      <w:tr w:rsidR="004E7728" w14:paraId="3B09B657" w14:textId="77777777" w:rsidTr="00184B3F">
        <w:tc>
          <w:tcPr>
            <w:tcW w:w="2880" w:type="dxa"/>
          </w:tcPr>
          <w:p w14:paraId="3980A78B" w14:textId="1FF60083" w:rsidR="004E7728" w:rsidRDefault="004E7728" w:rsidP="004E7728">
            <w:pPr>
              <w:jc w:val="left"/>
            </w:pPr>
            <w:r>
              <w:t xml:space="preserve">EIA </w:t>
            </w:r>
            <w:r w:rsidR="006958C3">
              <w:t xml:space="preserve">Annual </w:t>
            </w:r>
            <w:r>
              <w:t>Production Report</w:t>
            </w:r>
          </w:p>
        </w:tc>
        <w:tc>
          <w:tcPr>
            <w:tcW w:w="2105" w:type="dxa"/>
          </w:tcPr>
          <w:p w14:paraId="17A86507" w14:textId="4F605DE3" w:rsidR="004E7728" w:rsidRDefault="00184B3F" w:rsidP="00BC2DAE">
            <w:r>
              <w:t>25</w:t>
            </w:r>
          </w:p>
        </w:tc>
        <w:tc>
          <w:tcPr>
            <w:tcW w:w="1895" w:type="dxa"/>
          </w:tcPr>
          <w:p w14:paraId="323875BE" w14:textId="3EFE9E50" w:rsidR="004E7728" w:rsidRDefault="00184B3F" w:rsidP="00BC2DAE">
            <w:r>
              <w:t>5</w:t>
            </w:r>
          </w:p>
        </w:tc>
      </w:tr>
    </w:tbl>
    <w:p w14:paraId="23D811DC" w14:textId="77777777" w:rsidR="004E7728" w:rsidRPr="00BC2DAE" w:rsidRDefault="004E7728" w:rsidP="00BC2DAE"/>
    <w:p w14:paraId="214051AE" w14:textId="27F148FE" w:rsidR="00933B2C" w:rsidRDefault="00933B2C" w:rsidP="00933B2C">
      <w:pPr>
        <w:pStyle w:val="Heading3"/>
      </w:pPr>
      <w:r>
        <w:t>Power Reactors &amp; On-Site Storage</w:t>
      </w:r>
    </w:p>
    <w:p w14:paraId="3DBB4430" w14:textId="25C508E4" w:rsidR="00933B2C" w:rsidRDefault="00933B2C" w:rsidP="00933B2C">
      <w:pPr>
        <w:pStyle w:val="Heading3"/>
      </w:pPr>
      <w:bookmarkStart w:id="4" w:name="_Ref220408086"/>
      <w:r>
        <w:t>Proposed Interim Storage</w:t>
      </w:r>
      <w:bookmarkEnd w:id="4"/>
    </w:p>
    <w:p w14:paraId="724858B9" w14:textId="0F6480A8" w:rsidR="00933B2C" w:rsidRDefault="00933B2C" w:rsidP="00933B2C">
      <w:pPr>
        <w:pStyle w:val="Heading3"/>
      </w:pPr>
      <w:bookmarkStart w:id="5" w:name="_Ref220408096"/>
      <w:r>
        <w:t>Proposed Repositories</w:t>
      </w:r>
      <w:bookmarkEnd w:id="5"/>
    </w:p>
    <w:p w14:paraId="5E23804D" w14:textId="14E00D76" w:rsidR="00D046EA" w:rsidRDefault="00D046EA" w:rsidP="00D046EA">
      <w:pPr>
        <w:pStyle w:val="Heading2"/>
      </w:pPr>
      <w:r>
        <w:t>Demographic Analysis</w:t>
      </w:r>
    </w:p>
    <w:p w14:paraId="7A6BF708" w14:textId="7461CC2B" w:rsidR="00D046EA" w:rsidRDefault="00D046EA" w:rsidP="00D046EA">
      <w:pPr>
        <w:pStyle w:val="Heading2"/>
      </w:pPr>
      <w:r>
        <w:t>Sensitivity Analysis</w:t>
      </w:r>
    </w:p>
    <w:p w14:paraId="1C1A0CD2" w14:textId="11ACD34C" w:rsidR="00D046EA" w:rsidRDefault="00D046EA" w:rsidP="00D046EA">
      <w:pPr>
        <w:pStyle w:val="Heading3"/>
      </w:pPr>
      <w:r>
        <w:t>Radial Sensitivity</w:t>
      </w:r>
    </w:p>
    <w:p w14:paraId="6F7BD814" w14:textId="7941A659" w:rsidR="00D046EA" w:rsidRDefault="00D046EA" w:rsidP="00D046EA">
      <w:pPr>
        <w:pStyle w:val="Heading3"/>
      </w:pPr>
      <w:r>
        <w:t>Regional Sensitivity</w:t>
      </w:r>
    </w:p>
    <w:p w14:paraId="638CE222" w14:textId="23BF2508" w:rsidR="00D046EA" w:rsidRPr="00D046EA" w:rsidRDefault="00D046EA" w:rsidP="00D046EA">
      <w:pPr>
        <w:pStyle w:val="Heading3"/>
      </w:pPr>
      <w:bookmarkStart w:id="6" w:name="_Ref220408465"/>
      <w:r>
        <w:t>Mine Reliability</w:t>
      </w:r>
      <w:bookmarkEnd w:id="6"/>
    </w:p>
    <w:p w14:paraId="62521216" w14:textId="0F00F85B" w:rsidR="00933B2C" w:rsidRDefault="00933B2C" w:rsidP="00933B2C">
      <w:pPr>
        <w:pStyle w:val="Heading1"/>
      </w:pPr>
      <w:r>
        <w:t>Results</w:t>
      </w:r>
    </w:p>
    <w:p w14:paraId="4A82F2D5" w14:textId="0EBFAF6F" w:rsidR="00D046EA" w:rsidRDefault="00D046EA" w:rsidP="00D046EA">
      <w:pPr>
        <w:pStyle w:val="Heading2"/>
      </w:pPr>
      <w:r>
        <w:t>Fuel Cycle Facility Database &amp; Visualization</w:t>
      </w:r>
    </w:p>
    <w:p w14:paraId="268AADD8" w14:textId="613481A2" w:rsidR="00D046EA" w:rsidRDefault="00D046EA" w:rsidP="00D046EA">
      <w:pPr>
        <w:pStyle w:val="Heading2"/>
      </w:pPr>
      <w:r>
        <w:t>Demographic Analysis</w:t>
      </w:r>
    </w:p>
    <w:p w14:paraId="5204DC80" w14:textId="457FD787" w:rsidR="00D046EA" w:rsidRPr="00D046EA" w:rsidRDefault="00D046EA" w:rsidP="00D046EA">
      <w:pPr>
        <w:pStyle w:val="Heading2"/>
      </w:pPr>
      <w:bookmarkStart w:id="7" w:name="_Ref220408508"/>
      <w:r>
        <w:t>Sensitivity Analysis</w:t>
      </w:r>
      <w:bookmarkEnd w:id="7"/>
    </w:p>
    <w:p w14:paraId="665F2C43" w14:textId="6E6567D5" w:rsidR="00933B2C" w:rsidRDefault="00933B2C" w:rsidP="00933B2C">
      <w:pPr>
        <w:pStyle w:val="Heading1"/>
      </w:pPr>
      <w:r>
        <w:t>Discussion</w:t>
      </w:r>
    </w:p>
    <w:p w14:paraId="3CA752DE" w14:textId="0C379049" w:rsidR="00D046EA" w:rsidRDefault="00D046EA" w:rsidP="00D046EA">
      <w:pPr>
        <w:pStyle w:val="Heading2"/>
      </w:pPr>
      <w:r>
        <w:t>On Justice</w:t>
      </w:r>
    </w:p>
    <w:p w14:paraId="025E4A24" w14:textId="6A97F8CC" w:rsidR="00D046EA" w:rsidRDefault="00D046EA" w:rsidP="00D046EA">
      <w:pPr>
        <w:pStyle w:val="Heading2"/>
      </w:pPr>
      <w:r>
        <w:t>On Cartography</w:t>
      </w:r>
    </w:p>
    <w:p w14:paraId="5BCC1EB3" w14:textId="2E6C675C" w:rsidR="00D046EA" w:rsidRPr="00D046EA" w:rsidRDefault="00D046EA" w:rsidP="00D046EA">
      <w:pPr>
        <w:pStyle w:val="Heading2"/>
      </w:pPr>
      <w:r>
        <w:t>Analytical Limitations</w:t>
      </w:r>
    </w:p>
    <w:p w14:paraId="068FA005" w14:textId="7D107709" w:rsidR="00933B2C" w:rsidRDefault="00933B2C" w:rsidP="00933B2C">
      <w:pPr>
        <w:pStyle w:val="Heading1"/>
      </w:pPr>
      <w:r>
        <w:t>Conclusions</w:t>
      </w:r>
    </w:p>
    <w:p w14:paraId="3C183245" w14:textId="7634BA6A" w:rsidR="00D046EA" w:rsidRDefault="00D046EA" w:rsidP="00D046EA">
      <w:pPr>
        <w:pStyle w:val="Heading2"/>
      </w:pPr>
      <w:r>
        <w:t>Policy Recommendations</w:t>
      </w:r>
    </w:p>
    <w:p w14:paraId="3DD69F4D" w14:textId="4B2731EA" w:rsidR="00D046EA" w:rsidRPr="00D046EA" w:rsidRDefault="00D046EA" w:rsidP="00D046EA">
      <w:pPr>
        <w:pStyle w:val="Heading2"/>
      </w:pPr>
      <w:r>
        <w:t>Knowledge Management</w:t>
      </w:r>
    </w:p>
    <w:sectPr w:rsidR="00D046EA" w:rsidRPr="00D046EA" w:rsidSect="001C6AC7">
      <w:pgSz w:w="12240" w:h="15840"/>
      <w:pgMar w:top="1440" w:right="1584" w:bottom="1440" w:left="158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isher, Riley" w:date="2026-01-27T12:05:00Z" w:initials="RF">
    <w:p w14:paraId="08B50447" w14:textId="77777777" w:rsidR="00D046EA" w:rsidRDefault="00D046EA" w:rsidP="00D046EA">
      <w:pPr>
        <w:pStyle w:val="CommentText"/>
        <w:jc w:val="left"/>
      </w:pPr>
      <w:r>
        <w:rPr>
          <w:rStyle w:val="CommentReference"/>
        </w:rPr>
        <w:annotationRef/>
      </w:r>
      <w:r>
        <w:rPr>
          <w:color w:val="000000"/>
        </w:rPr>
        <w:t xml:space="preserve">Paragraph is a bit awkward but I’m trying to say that we included facilities that were primarily for commercial use, but I don't have a way of rigorously defining that. That's why I note the inclusions for multi-use facilities but exemptions for national lab facilities. </w:t>
      </w:r>
    </w:p>
  </w:comment>
  <w:comment w:id="2" w:author="Fisher, Riley" w:date="2026-01-27T12:27:00Z" w:initials="RF">
    <w:p w14:paraId="7FD150A0" w14:textId="77777777" w:rsidR="00923130" w:rsidRDefault="00923130" w:rsidP="00923130">
      <w:pPr>
        <w:pStyle w:val="CommentText"/>
        <w:jc w:val="left"/>
      </w:pPr>
      <w:r>
        <w:rPr>
          <w:rStyle w:val="CommentReference"/>
        </w:rPr>
        <w:annotationRef/>
      </w:r>
      <w:r>
        <w:t>This is maybe a poor explanation/a poor assumption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B50447" w15:done="0"/>
  <w15:commentEx w15:paraId="7FD150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9B923F" w16cex:dateUtc="2026-01-27T17:05:00Z"/>
  <w16cex:commentExtensible w16cex:durableId="4A266395" w16cex:dateUtc="2026-01-27T1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B50447" w16cid:durableId="5C9B923F"/>
  <w16cid:commentId w16cid:paraId="7FD150A0" w16cid:durableId="4A2663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68A18" w14:textId="77777777" w:rsidR="00C271DB" w:rsidRDefault="00C271DB" w:rsidP="0063255A">
      <w:pPr>
        <w:spacing w:after="0" w:line="240" w:lineRule="auto"/>
      </w:pPr>
      <w:r>
        <w:separator/>
      </w:r>
    </w:p>
  </w:endnote>
  <w:endnote w:type="continuationSeparator" w:id="0">
    <w:p w14:paraId="32584A47" w14:textId="77777777" w:rsidR="00C271DB" w:rsidRDefault="00C271DB" w:rsidP="00632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5E694" w14:textId="77777777" w:rsidR="00C271DB" w:rsidRDefault="00C271DB" w:rsidP="0063255A">
      <w:pPr>
        <w:spacing w:after="0" w:line="240" w:lineRule="auto"/>
      </w:pPr>
      <w:r>
        <w:separator/>
      </w:r>
    </w:p>
  </w:footnote>
  <w:footnote w:type="continuationSeparator" w:id="0">
    <w:p w14:paraId="24004F20" w14:textId="77777777" w:rsidR="00C271DB" w:rsidRDefault="00C271DB" w:rsidP="0063255A">
      <w:pPr>
        <w:spacing w:after="0" w:line="240" w:lineRule="auto"/>
      </w:pPr>
      <w:r>
        <w:continuationSeparator/>
      </w:r>
    </w:p>
  </w:footnote>
  <w:footnote w:id="1">
    <w:p w14:paraId="65BF287C" w14:textId="2C119CC4" w:rsidR="0063255A" w:rsidRDefault="0063255A">
      <w:pPr>
        <w:pStyle w:val="FootnoteText"/>
      </w:pPr>
      <w:r>
        <w:rPr>
          <w:rStyle w:val="FootnoteReference"/>
        </w:rPr>
        <w:footnoteRef/>
      </w:r>
      <w:r>
        <w:t xml:space="preserve"> </w:t>
      </w:r>
      <w:r w:rsidRPr="00CB24F4">
        <w:t>Note that the cases discussed in this section may not necessarily be reflected in the 2024 survey</w:t>
      </w:r>
      <w:r>
        <w:t>.</w:t>
      </w:r>
    </w:p>
  </w:footnote>
  <w:footnote w:id="2">
    <w:p w14:paraId="4645DD54" w14:textId="223944F3" w:rsidR="00976999" w:rsidRPr="00976999" w:rsidRDefault="00976999">
      <w:pPr>
        <w:pStyle w:val="FootnoteText"/>
      </w:pPr>
      <w:r>
        <w:rPr>
          <w:rStyle w:val="FootnoteReference"/>
        </w:rPr>
        <w:footnoteRef/>
      </w:r>
      <w:r>
        <w:t xml:space="preserve"> </w:t>
      </w:r>
      <w:r w:rsidRPr="001C6AC7">
        <w:t xml:space="preserve">A common critique of these statistics is the involvement of external variables, such as the prevalence of cigarette smoking. However, it is undeniable that safety procedures were insufficient </w:t>
      </w:r>
      <w:r w:rsidRPr="005A40A2">
        <w:rPr>
          <w:rStyle w:val="CitationChar"/>
        </w:rPr>
        <w:fldChar w:fldCharType="begin"/>
      </w:r>
      <w:r w:rsidRPr="005A40A2">
        <w:rPr>
          <w:rStyle w:val="CitationChar"/>
        </w:rPr>
        <w:instrText xml:space="preserve"> ADDIN ZOTERO_ITEM CSL_CITATION {"citationID":"GUcrukfI","properties":{"formattedCitation":"[6]","plainCitation":"[6]","noteIndex":2},"citationItems":[{"id":24621,"uris":["http://zotero.org/users/13422981/items/C7DLN8AS"],"itemData":{"id":24621,"type":"article-journal","citation-key":"MadsenEtAl_1996","container-title":"Environment and Behavior","issue":"5","title":"Perceived Occupational and Environmental Exposures: A Case Study of Former Uranium Millworkers","volume":"28","author":[{"family":"Madsen","given":"Gary E."},{"family":"Dawson","given":"Susan E."},{"family":"Spykerman","given":"Bryan R."}],"issued":{"date-parts":[["1996",9]]}}}],"schema":"https://github.com/citation-style-language/schema/raw/master/csl-citation.json"} </w:instrText>
      </w:r>
      <w:r w:rsidRPr="005A40A2">
        <w:rPr>
          <w:rStyle w:val="CitationChar"/>
        </w:rPr>
        <w:fldChar w:fldCharType="separate"/>
      </w:r>
      <w:r w:rsidRPr="005A40A2">
        <w:rPr>
          <w:rStyle w:val="CitationChar"/>
        </w:rPr>
        <w:t>[6]</w:t>
      </w:r>
      <w:r w:rsidRPr="005A40A2">
        <w:rPr>
          <w:rStyle w:val="CitationChar"/>
        </w:rPr>
        <w:fldChar w:fldCharType="end"/>
      </w:r>
      <w:r>
        <w:t xml:space="preserve"> </w:t>
      </w:r>
      <w:r w:rsidRPr="001C6AC7">
        <w:t xml:space="preserve">and that wastes were improperly contained </w:t>
      </w:r>
      <w:r w:rsidRPr="005A40A2">
        <w:rPr>
          <w:rStyle w:val="CitationChar"/>
        </w:rPr>
        <w:fldChar w:fldCharType="begin"/>
      </w:r>
      <w:r w:rsidRPr="005A40A2">
        <w:rPr>
          <w:rStyle w:val="CitationChar"/>
        </w:rPr>
        <w:instrText xml:space="preserve"> ADDIN ZOTERO_ITEM CSL_CITATION {"citationID":"aVUDH9zZ","properties":{"formattedCitation":"[7]","plainCitation":"[7]","noteIndex":2},"citationItems":[{"id":24652,"uris":["http://zotero.org/users/13422981/items/FEMVM7LG"],"itemData":{"id":24652,"type":"article-journal","abstract":"This article summarizes the current status of known contamination arising from abandoned uranium mines (AUMs) within the Navajo Nation and examines the options for addressing the elevated risks to health that AUM waste poses to the people of the Navajo Nation. More specifically, this article provides the following: An overview of past uranium mining conducted on the Navajo Nation, the current status of AUM waste within the Navajo Nation, and the human health risks associated with uranium exposure. A discussion of Navajo Fundamental Law, the Diné (the Navajo People) Uranium Remediation Advisory Commission, and the Navajo Nation Department of Justice's position regarding institutional controls and cleanup of AUMs. A summary of cleanup actions taken to date to address AUM waste and the lessons learned from such actions. Options for cleanup of AUM waste consistent with Diné Fundamental Law, the Diné Natural Resources Protection Act of 2005, and the Comprehensive Environmental Response, Compensation, and Liability Act of 1980 (CERCLA). The information summarized in this article was previously presented as an “Initial White Paper on Cleanup Options for Navajo Abandoned Uranium Mines,” prepared with participation from multiple stakeholders including the Navajo Nation Environmental Protection Agency (NNEPA), the Navajo Nation Department of Justice (NNDOJ), and the United States Environmental Protection Agency (US EPA). ©2016 Wiley Periodicals, Inc.","citation-key":"RamEtAl_2016","container-title":"Remediation Journal","DOI":"10.1002/rem.21473","ISSN":"1520-6831","issue":"3","language":"en","note":"_eprint: https://onlinelibrary.wiley.com/doi/pdf/10.1002/rem.21473","page":"131-148","source":"Wiley Online Library","title":"Cleanup Options for Navajo Abandoned Uranium Mines","volume":"26","author":[{"family":"Ram","given":"Neil M."},{"family":"Moore","given":"Catherine"},{"family":"McTiernan","given":"Lawrence"}],"issued":{"date-parts":[["2016"]]}}}],"schema":"https://github.com/citation-style-language/schema/raw/master/csl-citation.json"} </w:instrText>
      </w:r>
      <w:r w:rsidRPr="005A40A2">
        <w:rPr>
          <w:rStyle w:val="CitationChar"/>
        </w:rPr>
        <w:fldChar w:fldCharType="separate"/>
      </w:r>
      <w:r w:rsidRPr="005A40A2">
        <w:rPr>
          <w:rStyle w:val="CitationChar"/>
        </w:rPr>
        <w:t>[7]</w:t>
      </w:r>
      <w:r w:rsidRPr="005A40A2">
        <w:rPr>
          <w:rStyle w:val="CitationChar"/>
        </w:rPr>
        <w:fldChar w:fldCharType="end"/>
      </w:r>
      <w:r>
        <w:t>.</w:t>
      </w:r>
      <w:r w:rsidRPr="00976999">
        <w:t xml:space="preserve"> </w:t>
      </w:r>
      <w:r w:rsidRPr="001C6AC7">
        <w:t>Regardless of whether it is possible to quantify the causes of health effects with absolute certainty, there is irrefutable evidence of causal variables.</w:t>
      </w:r>
      <w:r>
        <w:t xml:space="preserve"> </w:t>
      </w:r>
    </w:p>
  </w:footnote>
  <w:footnote w:id="3">
    <w:p w14:paraId="72A59A32" w14:textId="1CC3DF24" w:rsidR="00976999" w:rsidRDefault="00976999">
      <w:pPr>
        <w:pStyle w:val="FootnoteText"/>
      </w:pPr>
      <w:r>
        <w:rPr>
          <w:rStyle w:val="FootnoteReference"/>
        </w:rPr>
        <w:footnoteRef/>
      </w:r>
      <w:r>
        <w:t xml:space="preserve"> </w:t>
      </w:r>
      <w:r w:rsidRPr="00976999">
        <w:t>Similar on the basis of estimated radionuclide release (Church Rock with 46 Ci, Sequoyah with 3 Ci, Three Mile Island with 13 Ci) and unsafe working conditions (Church Rock, Sequoyah, and Cimarron)</w:t>
      </w:r>
    </w:p>
  </w:footnote>
  <w:footnote w:id="4">
    <w:p w14:paraId="50D8238B" w14:textId="04BA689F" w:rsidR="00DA7E1F" w:rsidRDefault="00DA7E1F">
      <w:pPr>
        <w:pStyle w:val="FootnoteText"/>
      </w:pPr>
      <w:r>
        <w:rPr>
          <w:rStyle w:val="FootnoteReference"/>
        </w:rPr>
        <w:footnoteRef/>
      </w:r>
      <w:r>
        <w:t xml:space="preserve">These decommissioning sites include </w:t>
      </w:r>
      <w:r w:rsidRPr="00DA7E1F">
        <w:t>Big Rock Point (MI), Connecticut Yankee, Fort St. Vrain (CO), Trojan (OR), Rancho Seco (CA), Maine Yankee, Zion (IL), La Crosse (WI), Yankee Rowe (MA)</w:t>
      </w:r>
    </w:p>
  </w:footnote>
  <w:footnote w:id="5">
    <w:p w14:paraId="3D2367F4" w14:textId="7F1F3C47" w:rsidR="00853887" w:rsidRDefault="00853887">
      <w:pPr>
        <w:pStyle w:val="FootnoteText"/>
      </w:pPr>
      <w:r>
        <w:rPr>
          <w:rStyle w:val="FootnoteReference"/>
        </w:rPr>
        <w:footnoteRef/>
      </w:r>
      <w:r>
        <w:t xml:space="preserve"> </w:t>
      </w:r>
      <w:r w:rsidRPr="00853887">
        <w:t>A site was considered a duplicate of another if it shared a similar/exact name with another site within 1.5 miles</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20E2"/>
    <w:multiLevelType w:val="hybridMultilevel"/>
    <w:tmpl w:val="5366F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C51471"/>
    <w:multiLevelType w:val="hybridMultilevel"/>
    <w:tmpl w:val="ABE02D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1EF77BE"/>
    <w:multiLevelType w:val="hybridMultilevel"/>
    <w:tmpl w:val="5D784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0C06F0"/>
    <w:multiLevelType w:val="hybridMultilevel"/>
    <w:tmpl w:val="C556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64629A"/>
    <w:multiLevelType w:val="hybridMultilevel"/>
    <w:tmpl w:val="D0F847F4"/>
    <w:lvl w:ilvl="0" w:tplc="2F5413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1A60A0"/>
    <w:multiLevelType w:val="hybridMultilevel"/>
    <w:tmpl w:val="311C8560"/>
    <w:lvl w:ilvl="0" w:tplc="5570412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A35672"/>
    <w:multiLevelType w:val="hybridMultilevel"/>
    <w:tmpl w:val="F1F04AD8"/>
    <w:lvl w:ilvl="0" w:tplc="AA0AF38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4A1ABD"/>
    <w:multiLevelType w:val="hybridMultilevel"/>
    <w:tmpl w:val="EA14A06E"/>
    <w:lvl w:ilvl="0" w:tplc="531E3C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106BFD"/>
    <w:multiLevelType w:val="multilevel"/>
    <w:tmpl w:val="AFF0FF6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360" w:hanging="360"/>
      </w:pPr>
      <w:rPr>
        <w:rFonts w:hint="default"/>
      </w:rPr>
    </w:lvl>
    <w:lvl w:ilvl="3">
      <w:start w:val="1"/>
      <w:numFmt w:val="decimal"/>
      <w:pStyle w:val="Heading4"/>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7C495AD7"/>
    <w:multiLevelType w:val="hybridMultilevel"/>
    <w:tmpl w:val="942AB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9419595">
    <w:abstractNumId w:val="9"/>
  </w:num>
  <w:num w:numId="2" w16cid:durableId="483133130">
    <w:abstractNumId w:val="2"/>
  </w:num>
  <w:num w:numId="3" w16cid:durableId="1560749722">
    <w:abstractNumId w:val="4"/>
  </w:num>
  <w:num w:numId="4" w16cid:durableId="1831944415">
    <w:abstractNumId w:val="3"/>
  </w:num>
  <w:num w:numId="5" w16cid:durableId="1822696440">
    <w:abstractNumId w:val="5"/>
  </w:num>
  <w:num w:numId="6" w16cid:durableId="374087687">
    <w:abstractNumId w:val="7"/>
  </w:num>
  <w:num w:numId="7" w16cid:durableId="1256129377">
    <w:abstractNumId w:val="6"/>
  </w:num>
  <w:num w:numId="8" w16cid:durableId="17818738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3777249">
    <w:abstractNumId w:val="8"/>
  </w:num>
  <w:num w:numId="10" w16cid:durableId="2095124007">
    <w:abstractNumId w:val="1"/>
  </w:num>
  <w:num w:numId="11" w16cid:durableId="7232605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sher, Riley">
    <w15:presenceInfo w15:providerId="AD" w15:userId="S::fishr@umich.edu::33f1aa1e-55f2-4fd0-aca4-01d5b41934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38D"/>
    <w:rsid w:val="00110B20"/>
    <w:rsid w:val="001124F8"/>
    <w:rsid w:val="00140885"/>
    <w:rsid w:val="00163171"/>
    <w:rsid w:val="001668E8"/>
    <w:rsid w:val="00184B3F"/>
    <w:rsid w:val="001B17EE"/>
    <w:rsid w:val="001C6AC7"/>
    <w:rsid w:val="001E1C60"/>
    <w:rsid w:val="002A5A81"/>
    <w:rsid w:val="003720E9"/>
    <w:rsid w:val="003864CC"/>
    <w:rsid w:val="00465DFD"/>
    <w:rsid w:val="00471C8F"/>
    <w:rsid w:val="004B0263"/>
    <w:rsid w:val="004B138D"/>
    <w:rsid w:val="004E7728"/>
    <w:rsid w:val="005A40A2"/>
    <w:rsid w:val="005D7111"/>
    <w:rsid w:val="0063255A"/>
    <w:rsid w:val="006958C3"/>
    <w:rsid w:val="0078432C"/>
    <w:rsid w:val="008425E9"/>
    <w:rsid w:val="00851360"/>
    <w:rsid w:val="00853887"/>
    <w:rsid w:val="00882E8A"/>
    <w:rsid w:val="00894950"/>
    <w:rsid w:val="008A71DE"/>
    <w:rsid w:val="008E37D8"/>
    <w:rsid w:val="00923130"/>
    <w:rsid w:val="00933B2C"/>
    <w:rsid w:val="00976999"/>
    <w:rsid w:val="009D7E2B"/>
    <w:rsid w:val="00A82965"/>
    <w:rsid w:val="00AC5741"/>
    <w:rsid w:val="00B84047"/>
    <w:rsid w:val="00BC2DAE"/>
    <w:rsid w:val="00C271DB"/>
    <w:rsid w:val="00C43631"/>
    <w:rsid w:val="00CB24F4"/>
    <w:rsid w:val="00D046EA"/>
    <w:rsid w:val="00D861B1"/>
    <w:rsid w:val="00DA7E1F"/>
    <w:rsid w:val="00E93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621E4"/>
  <w15:chartTrackingRefBased/>
  <w15:docId w15:val="{38EF0C38-91DF-4DE5-9571-9323E5F2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AC7"/>
    <w:pPr>
      <w:spacing w:line="360" w:lineRule="exact"/>
      <w:jc w:val="both"/>
    </w:pPr>
    <w:rPr>
      <w:rFonts w:ascii="Times New Roman" w:hAnsi="Times New Roman"/>
      <w:spacing w:val="2"/>
      <w:sz w:val="22"/>
    </w:rPr>
  </w:style>
  <w:style w:type="paragraph" w:styleId="Heading1">
    <w:name w:val="heading 1"/>
    <w:basedOn w:val="Normal"/>
    <w:next w:val="Normal"/>
    <w:link w:val="Heading1Char"/>
    <w:uiPriority w:val="9"/>
    <w:qFormat/>
    <w:rsid w:val="00465DFD"/>
    <w:pPr>
      <w:numPr>
        <w:numId w:val="9"/>
      </w:numPr>
      <w:outlineLvl w:val="0"/>
    </w:pPr>
    <w:rPr>
      <w:b/>
      <w:bCs/>
      <w:sz w:val="24"/>
      <w:szCs w:val="24"/>
    </w:rPr>
  </w:style>
  <w:style w:type="paragraph" w:styleId="Heading2">
    <w:name w:val="heading 2"/>
    <w:basedOn w:val="Heading1"/>
    <w:next w:val="Normal"/>
    <w:link w:val="Heading2Char"/>
    <w:uiPriority w:val="9"/>
    <w:unhideWhenUsed/>
    <w:qFormat/>
    <w:rsid w:val="00AC5741"/>
    <w:pPr>
      <w:numPr>
        <w:ilvl w:val="1"/>
      </w:numPr>
      <w:outlineLvl w:val="1"/>
    </w:pPr>
    <w:rPr>
      <w:b w:val="0"/>
      <w:i/>
      <w:iCs/>
      <w:u w:val="single"/>
    </w:rPr>
  </w:style>
  <w:style w:type="paragraph" w:styleId="Heading3">
    <w:name w:val="heading 3"/>
    <w:basedOn w:val="Normal"/>
    <w:next w:val="Normal"/>
    <w:link w:val="Heading3Char"/>
    <w:uiPriority w:val="9"/>
    <w:unhideWhenUsed/>
    <w:qFormat/>
    <w:rsid w:val="00933B2C"/>
    <w:pPr>
      <w:numPr>
        <w:ilvl w:val="2"/>
        <w:numId w:val="9"/>
      </w:numPr>
      <w:outlineLvl w:val="2"/>
    </w:pPr>
    <w:rPr>
      <w:i/>
      <w:iCs/>
    </w:rPr>
  </w:style>
  <w:style w:type="paragraph" w:styleId="Heading4">
    <w:name w:val="heading 4"/>
    <w:basedOn w:val="Normal"/>
    <w:next w:val="Normal"/>
    <w:link w:val="Heading4Char"/>
    <w:uiPriority w:val="9"/>
    <w:semiHidden/>
    <w:unhideWhenUsed/>
    <w:qFormat/>
    <w:rsid w:val="004B138D"/>
    <w:pPr>
      <w:keepNext/>
      <w:keepLines/>
      <w:numPr>
        <w:ilvl w:val="3"/>
        <w:numId w:val="9"/>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B138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B13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13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138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138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DFD"/>
    <w:rPr>
      <w:rFonts w:ascii="Times New Roman" w:hAnsi="Times New Roman"/>
      <w:b/>
      <w:bCs/>
      <w:szCs w:val="24"/>
    </w:rPr>
  </w:style>
  <w:style w:type="character" w:customStyle="1" w:styleId="Heading2Char">
    <w:name w:val="Heading 2 Char"/>
    <w:basedOn w:val="DefaultParagraphFont"/>
    <w:link w:val="Heading2"/>
    <w:uiPriority w:val="9"/>
    <w:rsid w:val="00AC5741"/>
    <w:rPr>
      <w:rFonts w:ascii="Times New Roman" w:hAnsi="Times New Roman"/>
      <w:bCs/>
      <w:i/>
      <w:iCs/>
      <w:szCs w:val="24"/>
      <w:u w:val="single"/>
    </w:rPr>
  </w:style>
  <w:style w:type="character" w:customStyle="1" w:styleId="Heading3Char">
    <w:name w:val="Heading 3 Char"/>
    <w:basedOn w:val="DefaultParagraphFont"/>
    <w:link w:val="Heading3"/>
    <w:uiPriority w:val="9"/>
    <w:rsid w:val="00933B2C"/>
    <w:rPr>
      <w:rFonts w:ascii="Times New Roman" w:hAnsi="Times New Roman"/>
      <w:i/>
      <w:iCs/>
      <w:spacing w:val="2"/>
      <w:sz w:val="22"/>
    </w:rPr>
  </w:style>
  <w:style w:type="character" w:customStyle="1" w:styleId="Heading4Char">
    <w:name w:val="Heading 4 Char"/>
    <w:basedOn w:val="DefaultParagraphFont"/>
    <w:link w:val="Heading4"/>
    <w:uiPriority w:val="9"/>
    <w:semiHidden/>
    <w:rsid w:val="004B138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B138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B13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B13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B13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B13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A5A81"/>
    <w:pPr>
      <w:spacing w:after="0"/>
      <w:jc w:val="center"/>
    </w:pPr>
    <w:rPr>
      <w:sz w:val="32"/>
      <w:szCs w:val="28"/>
    </w:rPr>
  </w:style>
  <w:style w:type="character" w:customStyle="1" w:styleId="TitleChar">
    <w:name w:val="Title Char"/>
    <w:basedOn w:val="DefaultParagraphFont"/>
    <w:link w:val="Title"/>
    <w:uiPriority w:val="10"/>
    <w:rsid w:val="002A5A81"/>
    <w:rPr>
      <w:rFonts w:ascii="Times New Roman" w:hAnsi="Times New Roman"/>
      <w:sz w:val="32"/>
      <w:szCs w:val="28"/>
    </w:rPr>
  </w:style>
  <w:style w:type="paragraph" w:styleId="Subtitle">
    <w:name w:val="Subtitle"/>
    <w:basedOn w:val="Normal"/>
    <w:next w:val="Normal"/>
    <w:link w:val="SubtitleChar"/>
    <w:uiPriority w:val="11"/>
    <w:qFormat/>
    <w:rsid w:val="002A5A81"/>
    <w:pPr>
      <w:spacing w:after="0"/>
      <w:jc w:val="center"/>
    </w:pPr>
    <w:rPr>
      <w:sz w:val="28"/>
      <w:szCs w:val="24"/>
    </w:rPr>
  </w:style>
  <w:style w:type="character" w:customStyle="1" w:styleId="SubtitleChar">
    <w:name w:val="Subtitle Char"/>
    <w:basedOn w:val="DefaultParagraphFont"/>
    <w:link w:val="Subtitle"/>
    <w:uiPriority w:val="11"/>
    <w:rsid w:val="002A5A81"/>
    <w:rPr>
      <w:rFonts w:ascii="Times New Roman" w:hAnsi="Times New Roman"/>
      <w:sz w:val="28"/>
      <w:szCs w:val="24"/>
    </w:rPr>
  </w:style>
  <w:style w:type="paragraph" w:styleId="Quote">
    <w:name w:val="Quote"/>
    <w:basedOn w:val="Normal"/>
    <w:next w:val="Normal"/>
    <w:link w:val="QuoteChar"/>
    <w:uiPriority w:val="29"/>
    <w:qFormat/>
    <w:rsid w:val="004B138D"/>
    <w:pPr>
      <w:spacing w:before="160"/>
      <w:jc w:val="center"/>
    </w:pPr>
    <w:rPr>
      <w:i/>
      <w:iCs/>
      <w:color w:val="404040" w:themeColor="text1" w:themeTint="BF"/>
    </w:rPr>
  </w:style>
  <w:style w:type="character" w:customStyle="1" w:styleId="QuoteChar">
    <w:name w:val="Quote Char"/>
    <w:basedOn w:val="DefaultParagraphFont"/>
    <w:link w:val="Quote"/>
    <w:uiPriority w:val="29"/>
    <w:rsid w:val="004B138D"/>
    <w:rPr>
      <w:rFonts w:ascii="Times New Roman" w:hAnsi="Times New Roman"/>
      <w:i/>
      <w:iCs/>
      <w:color w:val="404040" w:themeColor="text1" w:themeTint="BF"/>
    </w:rPr>
  </w:style>
  <w:style w:type="paragraph" w:styleId="ListParagraph">
    <w:name w:val="List Paragraph"/>
    <w:basedOn w:val="Normal"/>
    <w:uiPriority w:val="34"/>
    <w:qFormat/>
    <w:rsid w:val="004B138D"/>
    <w:pPr>
      <w:ind w:left="720"/>
      <w:contextualSpacing/>
    </w:pPr>
  </w:style>
  <w:style w:type="character" w:styleId="IntenseEmphasis">
    <w:name w:val="Intense Emphasis"/>
    <w:basedOn w:val="DefaultParagraphFont"/>
    <w:uiPriority w:val="21"/>
    <w:qFormat/>
    <w:rsid w:val="004B138D"/>
    <w:rPr>
      <w:i/>
      <w:iCs/>
      <w:color w:val="0F4761" w:themeColor="accent1" w:themeShade="BF"/>
    </w:rPr>
  </w:style>
  <w:style w:type="paragraph" w:styleId="IntenseQuote">
    <w:name w:val="Intense Quote"/>
    <w:basedOn w:val="Normal"/>
    <w:next w:val="Normal"/>
    <w:link w:val="IntenseQuoteChar"/>
    <w:uiPriority w:val="30"/>
    <w:qFormat/>
    <w:rsid w:val="004B1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38D"/>
    <w:rPr>
      <w:rFonts w:ascii="Times New Roman" w:hAnsi="Times New Roman"/>
      <w:i/>
      <w:iCs/>
      <w:color w:val="0F4761" w:themeColor="accent1" w:themeShade="BF"/>
    </w:rPr>
  </w:style>
  <w:style w:type="character" w:styleId="IntenseReference">
    <w:name w:val="Intense Reference"/>
    <w:basedOn w:val="DefaultParagraphFont"/>
    <w:uiPriority w:val="32"/>
    <w:qFormat/>
    <w:rsid w:val="004B138D"/>
    <w:rPr>
      <w:b/>
      <w:bCs/>
      <w:smallCaps/>
      <w:color w:val="0F4761" w:themeColor="accent1" w:themeShade="BF"/>
      <w:spacing w:val="5"/>
    </w:rPr>
  </w:style>
  <w:style w:type="paragraph" w:customStyle="1" w:styleId="Parts">
    <w:name w:val="Parts"/>
    <w:basedOn w:val="Normal"/>
    <w:link w:val="PartsChar"/>
    <w:qFormat/>
    <w:rsid w:val="00CB24F4"/>
    <w:pPr>
      <w:jc w:val="center"/>
    </w:pPr>
    <w:rPr>
      <w:b/>
      <w:bCs/>
      <w:sz w:val="28"/>
      <w:szCs w:val="24"/>
    </w:rPr>
  </w:style>
  <w:style w:type="character" w:customStyle="1" w:styleId="PartsChar">
    <w:name w:val="Parts Char"/>
    <w:basedOn w:val="DefaultParagraphFont"/>
    <w:link w:val="Parts"/>
    <w:rsid w:val="00CB24F4"/>
    <w:rPr>
      <w:rFonts w:ascii="Times New Roman" w:hAnsi="Times New Roman"/>
      <w:b/>
      <w:bCs/>
      <w:sz w:val="28"/>
      <w:szCs w:val="24"/>
    </w:rPr>
  </w:style>
  <w:style w:type="paragraph" w:customStyle="1" w:styleId="Authors">
    <w:name w:val="Authors"/>
    <w:basedOn w:val="Normal"/>
    <w:link w:val="AuthorsChar"/>
    <w:qFormat/>
    <w:rsid w:val="00CB24F4"/>
    <w:pPr>
      <w:spacing w:before="120"/>
      <w:jc w:val="center"/>
    </w:pPr>
    <w:rPr>
      <w:sz w:val="24"/>
      <w:szCs w:val="24"/>
    </w:rPr>
  </w:style>
  <w:style w:type="character" w:customStyle="1" w:styleId="AuthorsChar">
    <w:name w:val="Authors Char"/>
    <w:basedOn w:val="DefaultParagraphFont"/>
    <w:link w:val="Authors"/>
    <w:rsid w:val="00CB24F4"/>
    <w:rPr>
      <w:rFonts w:ascii="Times New Roman" w:hAnsi="Times New Roman"/>
      <w:szCs w:val="24"/>
    </w:rPr>
  </w:style>
  <w:style w:type="paragraph" w:styleId="FootnoteText">
    <w:name w:val="footnote text"/>
    <w:basedOn w:val="Normal"/>
    <w:link w:val="FootnoteTextChar"/>
    <w:uiPriority w:val="99"/>
    <w:semiHidden/>
    <w:unhideWhenUsed/>
    <w:rsid w:val="0063255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255A"/>
    <w:rPr>
      <w:rFonts w:ascii="Times New Roman" w:hAnsi="Times New Roman"/>
      <w:sz w:val="20"/>
      <w:szCs w:val="20"/>
    </w:rPr>
  </w:style>
  <w:style w:type="character" w:styleId="FootnoteReference">
    <w:name w:val="footnote reference"/>
    <w:basedOn w:val="DefaultParagraphFont"/>
    <w:uiPriority w:val="99"/>
    <w:semiHidden/>
    <w:unhideWhenUsed/>
    <w:rsid w:val="0063255A"/>
    <w:rPr>
      <w:vertAlign w:val="superscript"/>
    </w:rPr>
  </w:style>
  <w:style w:type="paragraph" w:customStyle="1" w:styleId="SummaryHeading">
    <w:name w:val="Summary Heading"/>
    <w:basedOn w:val="Heading1"/>
    <w:link w:val="SummaryHeadingChar"/>
    <w:qFormat/>
    <w:rsid w:val="00465DFD"/>
    <w:pPr>
      <w:numPr>
        <w:numId w:val="0"/>
      </w:numPr>
    </w:pPr>
  </w:style>
  <w:style w:type="character" w:customStyle="1" w:styleId="SummaryHeadingChar">
    <w:name w:val="Summary Heading Char"/>
    <w:basedOn w:val="Heading1Char"/>
    <w:link w:val="SummaryHeading"/>
    <w:rsid w:val="00465DFD"/>
    <w:rPr>
      <w:rFonts w:ascii="Times New Roman" w:hAnsi="Times New Roman"/>
      <w:b/>
      <w:bCs/>
      <w:szCs w:val="24"/>
    </w:rPr>
  </w:style>
  <w:style w:type="paragraph" w:styleId="Bibliography">
    <w:name w:val="Bibliography"/>
    <w:basedOn w:val="Normal"/>
    <w:next w:val="Normal"/>
    <w:uiPriority w:val="37"/>
    <w:semiHidden/>
    <w:unhideWhenUsed/>
    <w:rsid w:val="00976999"/>
  </w:style>
  <w:style w:type="character" w:styleId="CommentReference">
    <w:name w:val="annotation reference"/>
    <w:basedOn w:val="DefaultParagraphFont"/>
    <w:uiPriority w:val="99"/>
    <w:semiHidden/>
    <w:unhideWhenUsed/>
    <w:rsid w:val="00D046EA"/>
    <w:rPr>
      <w:sz w:val="16"/>
      <w:szCs w:val="16"/>
    </w:rPr>
  </w:style>
  <w:style w:type="paragraph" w:styleId="CommentText">
    <w:name w:val="annotation text"/>
    <w:basedOn w:val="Normal"/>
    <w:link w:val="CommentTextChar"/>
    <w:uiPriority w:val="99"/>
    <w:unhideWhenUsed/>
    <w:rsid w:val="00D046EA"/>
    <w:pPr>
      <w:spacing w:line="240" w:lineRule="auto"/>
    </w:pPr>
    <w:rPr>
      <w:sz w:val="20"/>
      <w:szCs w:val="20"/>
    </w:rPr>
  </w:style>
  <w:style w:type="character" w:customStyle="1" w:styleId="CommentTextChar">
    <w:name w:val="Comment Text Char"/>
    <w:basedOn w:val="DefaultParagraphFont"/>
    <w:link w:val="CommentText"/>
    <w:uiPriority w:val="99"/>
    <w:rsid w:val="00D046EA"/>
    <w:rPr>
      <w:rFonts w:ascii="Times New Roman" w:hAnsi="Times New Roman"/>
      <w:spacing w:val="2"/>
      <w:sz w:val="20"/>
      <w:szCs w:val="20"/>
    </w:rPr>
  </w:style>
  <w:style w:type="paragraph" w:styleId="CommentSubject">
    <w:name w:val="annotation subject"/>
    <w:basedOn w:val="CommentText"/>
    <w:next w:val="CommentText"/>
    <w:link w:val="CommentSubjectChar"/>
    <w:uiPriority w:val="99"/>
    <w:semiHidden/>
    <w:unhideWhenUsed/>
    <w:rsid w:val="00D046EA"/>
    <w:rPr>
      <w:b/>
      <w:bCs/>
    </w:rPr>
  </w:style>
  <w:style w:type="character" w:customStyle="1" w:styleId="CommentSubjectChar">
    <w:name w:val="Comment Subject Char"/>
    <w:basedOn w:val="CommentTextChar"/>
    <w:link w:val="CommentSubject"/>
    <w:uiPriority w:val="99"/>
    <w:semiHidden/>
    <w:rsid w:val="00D046EA"/>
    <w:rPr>
      <w:rFonts w:ascii="Times New Roman" w:hAnsi="Times New Roman"/>
      <w:b/>
      <w:bCs/>
      <w:spacing w:val="2"/>
      <w:sz w:val="20"/>
      <w:szCs w:val="20"/>
    </w:rPr>
  </w:style>
  <w:style w:type="paragraph" w:customStyle="1" w:styleId="Cross-Reference">
    <w:name w:val="Cross-Reference"/>
    <w:basedOn w:val="Normal"/>
    <w:link w:val="Cross-ReferenceChar"/>
    <w:qFormat/>
    <w:rsid w:val="00853887"/>
    <w:rPr>
      <w:color w:val="E97132" w:themeColor="accent2"/>
    </w:rPr>
  </w:style>
  <w:style w:type="character" w:customStyle="1" w:styleId="Cross-ReferenceChar">
    <w:name w:val="Cross-Reference Char"/>
    <w:basedOn w:val="DefaultParagraphFont"/>
    <w:link w:val="Cross-Reference"/>
    <w:rsid w:val="00853887"/>
    <w:rPr>
      <w:rFonts w:ascii="Times New Roman" w:hAnsi="Times New Roman"/>
      <w:color w:val="E97132" w:themeColor="accent2"/>
      <w:spacing w:val="2"/>
      <w:sz w:val="22"/>
    </w:rPr>
  </w:style>
  <w:style w:type="paragraph" w:customStyle="1" w:styleId="Citation">
    <w:name w:val="Citation"/>
    <w:basedOn w:val="Normal"/>
    <w:link w:val="CitationChar"/>
    <w:qFormat/>
    <w:rsid w:val="00853887"/>
    <w:rPr>
      <w:color w:val="156082" w:themeColor="accent1"/>
    </w:rPr>
  </w:style>
  <w:style w:type="character" w:customStyle="1" w:styleId="CitationChar">
    <w:name w:val="Citation Char"/>
    <w:basedOn w:val="DefaultParagraphFont"/>
    <w:link w:val="Citation"/>
    <w:rsid w:val="00853887"/>
    <w:rPr>
      <w:rFonts w:ascii="Times New Roman" w:hAnsi="Times New Roman"/>
      <w:color w:val="156082" w:themeColor="accent1"/>
      <w:spacing w:val="2"/>
      <w:sz w:val="22"/>
    </w:rPr>
  </w:style>
  <w:style w:type="table" w:styleId="TableGrid">
    <w:name w:val="Table Grid"/>
    <w:basedOn w:val="TableNormal"/>
    <w:uiPriority w:val="39"/>
    <w:rsid w:val="004E77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84B3F"/>
    <w:pPr>
      <w:spacing w:after="200" w:line="240" w:lineRule="auto"/>
      <w:jc w:val="center"/>
    </w:pPr>
    <w:rPr>
      <w:b/>
      <w:iCs/>
      <w:color w:val="000000" w:themeColor="text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597CB-2644-4979-A4F7-A86F08FDD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9</Pages>
  <Words>7008</Words>
  <Characters>39947</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Fisher, Riley</dc:creator>
  <cp:keywords/>
  <dc:description/>
  <cp:lastModifiedBy>Fisher, Riley</cp:lastModifiedBy>
  <cp:revision>8</cp:revision>
  <dcterms:created xsi:type="dcterms:W3CDTF">2026-01-26T23:27:00Z</dcterms:created>
  <dcterms:modified xsi:type="dcterms:W3CDTF">2026-02-02T23:18:00Z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id="eN5loQDv"/&gt;&lt;style id="http://www.zotero.org/styles/ieee" locale="en-US" hasBibliography="1" bibliographyStyleHasBeenSet="1"/&gt;&lt;prefs&gt;&lt;pref name="fieldType" value="Field"/&gt;&lt;/prefs&gt;&lt;/data&gt;</vt:lpwstr>
  </property>
</Properties>
</file>