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shd w:val="clear" w:color="auto"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7673" w:type="dxa"/>
          </w:tcPr>
          <w:p>
            <w:pPr>
              <w:spacing w:before="80" w:after="20"/>
            </w:pPr>
            <w:r>
              <w:rPr>
                <w:b/>
                <w:i w:val="0"/>
                <w:color w:val="1F4E79"/>
                <w:sz w:val="28"/>
              </w:rPr>
              <w:t>Agnico Eagle Mines Limited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595959"/>
                <w:sz w:val="18"/>
              </w:rPr>
              <w:t>AEM   ·   2025-12-31   ·   October 27, 2026</w:t>
            </w:r>
          </w:p>
        </w:tc>
        <w:tc>
          <w:tcPr>
            <w:shd w:val="clear" w:color="auto" w:fill="FFC0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2838" w:type="dxa"/>
          </w:tcPr>
          <w:p>
            <w:pPr>
              <w:spacing w:before="180" w:after="100"/>
              <w:jc w:val="center"/>
            </w:pPr>
            <w:r>
              <w:rPr>
                <w:b/>
                <w:i w:val="0"/>
                <w:color w:val="1F4E79"/>
                <w:sz w:val="24"/>
              </w:rPr>
              <w:t xml:space="preserve">  INVESTIGATE  </w:t>
            </w:r>
          </w:p>
        </w:tc>
      </w:tr>
    </w:tbl>
    <w:p>
      <w:pPr>
        <w:spacing w:before="0" w:after="80"/>
        <w:pBdr>
          <w:bottom w:val="single" w:sz="8" w:space="1" w:color="1F4E7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10512" w:type="dxa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INVESTMENT THESIS</w:t>
            </w:r>
          </w:p>
        </w:tc>
      </w:tr>
    </w:tbl>
    <w:p>
      <w:pPr>
        <w:spacing w:before="0" w:after="0"/>
      </w:pPr>
    </w:p>
    <w:p>
      <w:pPr>
        <w:spacing w:before="60" w:after="40"/>
      </w:pPr>
      <w:r>
        <w:rPr>
          <w:b w:val="0"/>
          <w:i/>
          <w:sz w:val="20"/>
        </w:rPr>
        <w:t>Agnico Eagle has transformed its balance sheet from net debt to $2.67B net cash in a single year while generating $4.4B in free cash flow, demonstrating that the operating leverage to gold price is fully intact and the capital structure is now unencumbered to fund a multi-asset development pipeline. The combination of $2.59B authorized buyback capacity, a 12.5% dividend increase announced for Q1 2026, record mineral reserves of 55.4M oz, and East Gouldie first production imminent creates a compounding return profile at current gold prices.</w:t>
      </w:r>
    </w:p>
    <w:p>
      <w:pPr>
        <w:spacing w:before="0" w:after="80"/>
      </w:pPr>
      <w:r>
        <w:rPr>
          <w:b w:val="0"/>
          <w:i/>
          <w:color w:val="595959"/>
          <w:sz w:val="16"/>
        </w:rPr>
        <w:t>Sector: Gold Mining   ·   Filing date: 2025-12-31   ·   USD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10512" w:type="dxa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FINANCIALS AT A GLANCE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574" w:type="dxa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8"/>
              </w:rPr>
              <w:t>Year Ended December 31, 2025</w:t>
            </w:r>
          </w:p>
        </w:tc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8"/>
              </w:rPr>
              <w:t>vs Prior / Margin</w:t>
            </w:r>
          </w:p>
        </w:tc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574" w:type="dxa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Revenue</w:t>
            </w:r>
          </w:p>
        </w:tc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11,907,851,000</w:t>
            </w:r>
          </w:p>
        </w:tc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+43.7%</w:t>
            </w:r>
          </w:p>
        </w:tc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YoY %</w:t>
            </w:r>
          </w:p>
        </w:tc>
      </w:tr>
      <w:tr>
        <w:tc>
          <w:tcPr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574" w:type="dxa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Gross Profit</w:t>
            </w:r>
          </w:p>
        </w:tc>
        <w:tc>
          <w:tcPr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GP Margin</w:t>
            </w:r>
          </w:p>
        </w:tc>
      </w:tr>
      <w:tr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574" w:type="dxa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EBITDA</w:t>
            </w:r>
          </w:p>
        </w:tc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—</w:t>
            </w:r>
          </w:p>
        </w:tc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—</w:t>
            </w:r>
          </w:p>
        </w:tc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EBITDA Margin</w:t>
            </w:r>
          </w:p>
        </w:tc>
      </w:tr>
      <w:tr>
        <w:tc>
          <w:tcPr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574" w:type="dxa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Net Income</w:t>
            </w:r>
          </w:p>
        </w:tc>
        <w:tc>
          <w:tcPr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4,461,461,000</w:t>
            </w:r>
          </w:p>
        </w:tc>
        <w:tc>
          <w:tcPr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37.5%</w:t>
            </w:r>
          </w:p>
        </w:tc>
        <w:tc>
          <w:tcPr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NI Margin</w:t>
            </w:r>
          </w:p>
        </w:tc>
      </w:tr>
      <w:tr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574" w:type="dxa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Free Cash Flow</w:t>
            </w:r>
          </w:p>
        </w:tc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4,398,913,000</w:t>
            </w:r>
          </w:p>
        </w:tc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36.9%</w:t>
            </w:r>
          </w:p>
        </w:tc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312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FCF / Revenue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10512" w:type="dxa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FINANCIAL HEALTH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5466" w:type="dxa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2522" w:type="dxa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2522" w:type="dxa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</w:tr>
      <w:tr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5466" w:type="dxa"/>
            <w:shd w:val="clear" w:color="auto" w:fill="F2F5FA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Liquidity  (Current Ratio)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522" w:type="dxa"/>
            <w:shd w:val="clear" w:color="auto" w:fill="F2F5F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2.02x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522" w:type="dxa"/>
            <w:shd w:val="clear" w:color="auto" w:fill="70AD4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8"/>
              </w:rPr>
              <w:t>GREEN</w:t>
            </w:r>
          </w:p>
        </w:tc>
      </w:tr>
      <w:tr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5466" w:type="dxa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Leverage  (Net Debt / EBITDA)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522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522" w:type="dxa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4E79"/>
                <w:sz w:val="18"/>
              </w:rPr>
              <w:t>N/A</w:t>
            </w:r>
          </w:p>
        </w:tc>
      </w:tr>
      <w:tr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5466" w:type="dxa"/>
            <w:shd w:val="clear" w:color="auto" w:fill="F2F5FA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Revenue Growth  (YoY %)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522" w:type="dxa"/>
            <w:shd w:val="clear" w:color="auto" w:fill="F2F5F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43.7%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522" w:type="dxa"/>
            <w:shd w:val="clear" w:color="auto" w:fill="70AD47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8"/>
              </w:rPr>
              <w:t>GREEN</w:t>
            </w:r>
          </w:p>
        </w:tc>
      </w:tr>
      <w:tr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5466" w:type="dxa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FCF Conversion  (FCF / Net Income %)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522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98.6%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522" w:type="dxa"/>
            <w:shd w:val="clear" w:color="auto" w:fill="FFC000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4E79"/>
                <w:sz w:val="18"/>
              </w:rPr>
              <w:t>AMBER</w:t>
            </w:r>
          </w:p>
        </w:tc>
      </w:tr>
      <w:tr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5466" w:type="dxa"/>
            <w:shd w:val="clear" w:color="auto" w:fill="F2F5FA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Interest Cover  (EBIT / Interest)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522" w:type="dxa"/>
            <w:shd w:val="clear" w:color="auto" w:fill="F2F5F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2522" w:type="dxa"/>
            <w:shd w:val="clear" w:color="auto" w:fill="D9D9D9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4E79"/>
                <w:sz w:val="18"/>
              </w:rPr>
              <w:t>N/A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10512" w:type="dxa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RISK FLAGS</w:t>
            </w:r>
          </w:p>
        </w:tc>
      </w:tr>
    </w:tbl>
    <w:p>
      <w:pPr>
        <w:spacing w:before="0" w:after="0"/>
      </w:pPr>
    </w:p>
    <w:p>
      <w:pPr>
        <w:spacing w:before="60" w:after="40"/>
      </w:pPr>
      <w:r>
        <w:rPr>
          <w:b w:val="0"/>
          <w:i w:val="0"/>
          <w:color w:val="70AD47"/>
          <w:sz w:val="18"/>
        </w:rPr>
        <w:t>No material flags identified.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10512" w:type="dxa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VALUATION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574" w:type="dxa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Multiple</w:t>
            </w:r>
          </w:p>
        </w:tc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468" w:type="dxa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3468" w:type="dxa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8"/>
              </w:rPr>
              <w:t>Denominator</w:t>
            </w:r>
          </w:p>
        </w:tc>
      </w:tr>
      <w:tr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574" w:type="dxa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Mkt Cap / EBITDA</w:t>
            </w:r>
          </w:p>
        </w:tc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468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—</w:t>
            </w:r>
          </w:p>
        </w:tc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468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EBITDA</w:t>
            </w:r>
          </w:p>
        </w:tc>
      </w:tr>
      <w:tr>
        <w:tc>
          <w:tcPr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574" w:type="dxa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P / E</w:t>
            </w:r>
          </w:p>
        </w:tc>
        <w:tc>
          <w:tcPr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468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19.94x</w:t>
            </w:r>
          </w:p>
        </w:tc>
        <w:tc>
          <w:tcPr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468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Net Income</w:t>
            </w:r>
          </w:p>
        </w:tc>
      </w:tr>
      <w:tr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574" w:type="dxa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Mkt Cap / Revenue</w:t>
            </w:r>
          </w:p>
        </w:tc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468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7.47x</w:t>
            </w:r>
          </w:p>
        </w:tc>
        <w:tc>
          <w:tcPr>
            <w:shd w:val="clear" w:color="auto" w:fill="F2F5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468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Revenue</w:t>
            </w:r>
          </w:p>
        </w:tc>
      </w:tr>
      <w:tr>
        <w:tc>
          <w:tcPr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574" w:type="dxa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sz w:val="18"/>
              </w:rPr>
              <w:t>P / FCF</w:t>
            </w:r>
          </w:p>
        </w:tc>
        <w:tc>
          <w:tcPr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468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20.22x</w:t>
            </w:r>
          </w:p>
        </w:tc>
        <w:tc>
          <w:tcPr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3468" w:type="dxa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1F4E79"/>
                <w:sz w:val="18"/>
              </w:rPr>
              <w:t>Free Cash Flow</w:t>
            </w:r>
          </w:p>
        </w:tc>
      </w:tr>
    </w:tbl>
    <w:p>
      <w:pPr>
        <w:spacing w:before="40" w:after="80"/>
      </w:pPr>
      <w:r>
        <w:rPr>
          <w:b w:val="0"/>
          <w:i/>
          <w:color w:val="595959"/>
          <w:sz w:val="16"/>
        </w:rPr>
        <w:t>Market cap: 88,963M USD (yfinance)   ·   Multiples are market cap over the filing figure in USD; no enterprise-value adjustment.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shd w:val="clear" w:color="auto" w:fill="1F4E7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W w:w="10512" w:type="dxa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</w:rPr>
              <w:t>BULL / BEAR CASE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D6E8D4"/>
            <w:tcW w:w="630" w:type="dxa"/>
          </w:tcPr>
          <w:p/>
        </w:tc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D6E8D4"/>
            <w:tcW w:w="4625" w:type="dxa"/>
          </w:tcPr>
          <w:p>
            <w:pPr>
              <w:spacing w:before="40" w:after="40"/>
            </w:pPr>
            <w:r>
              <w:rPr>
                <w:b/>
                <w:i w:val="0"/>
                <w:color w:val="375623"/>
                <w:sz w:val="18"/>
              </w:rPr>
              <w:t>BULL CASE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F2D7D7"/>
            <w:tcW w:w="630" w:type="dxa"/>
          </w:tcPr>
          <w:p/>
        </w:tc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F2D7D7"/>
            <w:tcW w:w="4625" w:type="dxa"/>
          </w:tcPr>
          <w:p>
            <w:pPr>
              <w:spacing w:before="40" w:after="40"/>
            </w:pPr>
            <w:r>
              <w:rPr>
                <w:b/>
                <w:i w:val="0"/>
                <w:color w:val="7B0000"/>
                <w:sz w:val="18"/>
              </w:rPr>
              <w:t>BEAR CASE</w:t>
            </w:r>
          </w:p>
        </w:tc>
      </w:tr>
      <w:tr>
        <w:tc>
          <w:tcPr>
            <w:shd w:val="clear" w:color="auto" w:fill="EAFAE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tcW w:w="630" w:type="dxa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375623"/>
                <w:sz w:val="16"/>
              </w:rPr>
              <w:t>▲</w:t>
            </w:r>
          </w:p>
        </w:tc>
        <w:tc>
          <w:tcPr>
            <w:shd w:val="clear" w:color="auto" w:fill="F5FB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4625" w:type="dxa"/>
          </w:tcPr>
          <w:p>
            <w:pPr>
              <w:spacing w:before="60" w:after="20"/>
            </w:pPr>
            <w:r>
              <w:rPr>
                <w:b/>
                <w:i w:val="0"/>
                <w:sz w:val="18"/>
              </w:rPr>
              <w:t>Record reserves fund decade growth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595959"/>
                <w:sz w:val="16"/>
              </w:rPr>
              <w:t>Proven and probable gold mineral reserves hit a record 55.4 million ounces at December 31, 2025, up 2.1% after replacing 3.0 million ounces mined, with East Gouldie alone carrying 5.7 million ounces of probable reserves at 3.23 g/t -- underpinning management's stated potential to exceed 4 million ounces annually in the early 2030s.</w:t>
            </w:r>
          </w:p>
        </w:tc>
        <w:tc>
          <w:tcPr>
            <w:shd w:val="clear" w:color="auto" w:fill="FDECE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tcW w:w="630" w:type="dxa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7B0000"/>
                <w:sz w:val="16"/>
              </w:rPr>
              <w:t>▼</w:t>
            </w:r>
          </w:p>
        </w:tc>
        <w:tc>
          <w:tcPr>
            <w:shd w:val="clear" w:color="auto" w:fill="FDF5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4625" w:type="dxa"/>
          </w:tcPr>
          <w:p>
            <w:pPr>
              <w:spacing w:before="60" w:after="20"/>
            </w:pPr>
            <w:r>
              <w:rPr>
                <w:b/>
                <w:i w:val="0"/>
                <w:sz w:val="18"/>
              </w:rPr>
              <w:t>Capex balloon breaches guidance ceiling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595959"/>
                <w:sz w:val="16"/>
              </w:rPr>
              <w:t>Total capital expenditures of $2.39 billion in 2025 came in above the high end of the $2.04-$2.26 billion guidance range, and 2026 guided capex rises further to approximately $2.60 billion, with development capital alone at $1.44 billion in 2025 -- up 49% year-over-year -- concentrated in Canadian Malartic, Detour Lake underground, and Hope Bay, all still pre-production.</w:t>
            </w:r>
          </w:p>
        </w:tc>
      </w:tr>
      <w:tr>
        <w:tc>
          <w:tcPr>
            <w:shd w:val="clear" w:color="auto" w:fill="EAFAE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tcW w:w="630" w:type="dxa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375623"/>
                <w:sz w:val="16"/>
              </w:rPr>
              <w:t>▲</w:t>
            </w:r>
          </w:p>
        </w:tc>
        <w:tc>
          <w:tcPr>
            <w:shd w:val="clear" w:color="auto" w:fill="F5FB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4625" w:type="dxa"/>
          </w:tcPr>
          <w:p>
            <w:pPr>
              <w:spacing w:before="60" w:after="20"/>
            </w:pPr>
            <w:r>
              <w:rPr>
                <w:b/>
                <w:i w:val="0"/>
                <w:sz w:val="18"/>
              </w:rPr>
              <w:t>Net cash fortress from debt elimination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595959"/>
                <w:sz w:val="16"/>
              </w:rPr>
              <w:t>The Company moved from net debt of $216.5 million at year-end 2024 to net cash of $2.67 billion at year-end 2025 after repaying $950 million in senior notes, while free cash flow surged to $4.40 billion in 2025 from $2.14 billion in 2024, supported by a 44.9% increase in realized gold price to $3,454 per ounce.</w:t>
            </w:r>
          </w:p>
        </w:tc>
        <w:tc>
          <w:tcPr>
            <w:shd w:val="clear" w:color="auto" w:fill="FDECE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tcW w:w="630" w:type="dxa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7B0000"/>
                <w:sz w:val="16"/>
              </w:rPr>
              <w:t>▼</w:t>
            </w:r>
          </w:p>
        </w:tc>
        <w:tc>
          <w:tcPr>
            <w:shd w:val="clear" w:color="auto" w:fill="FDF5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4625" w:type="dxa"/>
          </w:tcPr>
          <w:p>
            <w:pPr>
              <w:spacing w:before="60" w:after="20"/>
            </w:pPr>
            <w:r>
              <w:rPr>
                <w:b/>
                <w:i w:val="0"/>
                <w:sz w:val="18"/>
              </w:rPr>
              <w:t>Royalty-driven cost creep accelerating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595959"/>
                <w:sz w:val="16"/>
              </w:rPr>
              <w:t>Total cash costs per ounce exceeded the full-year guidance range of $915-$965 (actual $979) and AISC of $1,339 exceeded guidance of $1,250-$1,300, with management explicitly attributing the miss to higher royalty costs from elevated gold prices; 2026 AISC guidance widens further to $1,400-$1,550, implying a structural cost step-up even at flat production.</w:t>
            </w:r>
          </w:p>
        </w:tc>
      </w:tr>
      <w:tr>
        <w:tc>
          <w:tcPr>
            <w:shd w:val="clear" w:color="auto" w:fill="EAFAE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tcW w:w="630" w:type="dxa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375623"/>
                <w:sz w:val="16"/>
              </w:rPr>
              <w:t>▲</w:t>
            </w:r>
          </w:p>
        </w:tc>
        <w:tc>
          <w:tcPr>
            <w:shd w:val="clear" w:color="auto" w:fill="F5FB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4625" w:type="dxa"/>
          </w:tcPr>
          <w:p>
            <w:pPr>
              <w:spacing w:before="60" w:after="20"/>
            </w:pPr>
            <w:r>
              <w:rPr>
                <w:b/>
                <w:i w:val="0"/>
                <w:sz w:val="18"/>
              </w:rPr>
              <w:t>Operating leverage compresses unit costs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595959"/>
                <w:sz w:val="16"/>
              </w:rPr>
              <w:t>Despite a 44.9% rise in realized gold price, total cash costs per ounce rose only 8.4% to $979, producing an operating margin expansion to $8.57 billion from $5.20 billion in 2024; Macassa received a $229 million impairment reversal and Detour Lake's underground project received an incremental $200 million approval, signalling confidence in high-return volume growth.</w:t>
            </w:r>
          </w:p>
        </w:tc>
        <w:tc>
          <w:tcPr>
            <w:shd w:val="clear" w:color="auto" w:fill="FDECE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tcW w:w="630" w:type="dxa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7B0000"/>
                <w:sz w:val="16"/>
              </w:rPr>
              <w:t>▼</w:t>
            </w:r>
          </w:p>
        </w:tc>
        <w:tc>
          <w:tcPr>
            <w:shd w:val="clear" w:color="auto" w:fill="FDF5F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W w:w="4625" w:type="dxa"/>
          </w:tcPr>
          <w:p>
            <w:pPr>
              <w:spacing w:before="60" w:after="20"/>
            </w:pPr>
            <w:r>
              <w:rPr>
                <w:b/>
                <w:i w:val="0"/>
                <w:sz w:val="18"/>
              </w:rPr>
              <w:t>Fosterville grade decline structurally compresses</w:t>
            </w:r>
          </w:p>
          <w:p>
            <w:pPr>
              <w:spacing w:before="0" w:after="60"/>
            </w:pPr>
            <w:r>
              <w:rPr>
                <w:b w:val="0"/>
                <w:i w:val="0"/>
                <w:color w:val="595959"/>
                <w:sz w:val="16"/>
              </w:rPr>
              <w:t>Fosterville gold production fell 28.7% to 160,522 ounces in 2025 as high-grade Swan zone depletes, with grade dropping from 8.96 g/t in 2024 to 7.20 g/t and total cash costs rising from $647 to $937 per ounce; 2026 guidance of 140,000-160,000 ounces at approximately $1,374 per ounce represents a near-doubling of unit costs versus 2024, and the planned throughput scale-up to 3,300 tpd over three years carries execution risk.</w:t>
            </w:r>
          </w:p>
        </w:tc>
      </w:tr>
    </w:tbl>
    <w:p>
      <w:pPr>
        <w:spacing w:before="0" w:after="80"/>
      </w:pPr>
    </w:p>
    <w:p>
      <w:pPr>
        <w:spacing w:before="120" w:after="0"/>
        <w:jc w:val="center"/>
        <w:pBdr>
          <w:top w:val="single" w:sz="4" w:space="1" w:color="D9D9D9"/>
        </w:pBdr>
      </w:pPr>
      <w:r>
        <w:rPr>
          <w:b w:val="0"/>
          <w:i/>
          <w:color w:val="595959"/>
          <w:sz w:val="16"/>
        </w:rPr>
        <w:t>Generated by FinLens  ·  AI-powered financial analysis  ·  October 27, 2026  ·  For internal use only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