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240"/>
        <w:jc w:val="center"/>
      </w:pPr>
      <w:r>
        <w:rPr>
          <w:rFonts w:ascii="Courier New" w:cs="Courier New" w:eastAsia="Courier New" w:hAnsi="Courier New"/>
          <w:color w:val="2563EB"/>
          <w:sz w:val="18"/>
          <w:szCs w:val="18"/>
        </w:rPr>
        <w:t xml:space="preserve">PRD  ·  PRODUCT EVALUATOR</w:t>
      </w:r>
    </w:p>
    <w:p>
      <w:pPr>
        <w:spacing w:after="240"/>
        <w:jc w:val="center"/>
      </w:pPr>
      <w:r>
        <w:rPr>
          <w:rFonts w:ascii="Calibri" w:cs="Calibri" w:eastAsia="Calibri" w:hAnsi="Calibri"/>
          <w:b/>
          <w:bCs/>
          <w:color w:val="0F172A"/>
          <w:sz w:val="72"/>
          <w:szCs w:val="72"/>
        </w:rPr>
        <w:t xml:space="preserve">Product Evaluator</w:t>
      </w:r>
    </w:p>
    <w:p>
      <w:pPr>
        <w:spacing w:after="160"/>
        <w:jc w:val="center"/>
      </w:pPr>
      <w:r>
        <w:rPr>
          <w:color w:val="64748B"/>
          <w:sz w:val="22"/>
          <w:szCs w:val="22"/>
        </w:rPr>
        <w:t xml:space="preserve">PRD-to-Evals Engine — Product Requirements Document</w:t>
      </w:r>
    </w:p>
    <w:p>
      <w:pPr>
        <w:spacing w:after="480"/>
        <w:jc w:val="center"/>
      </w:pPr>
      <w:r>
        <w:rPr>
          <w:color w:val="64748B"/>
          <w:sz w:val="22"/>
          <w:szCs w:val="22"/>
        </w:rPr>
        <w:t xml:space="preserve">Version 1.0  ·  July 2026  ·  Riley Trottier</w:t>
      </w:r>
    </w:p>
    <w:p>
      <w:pPr>
        <w:spacing w:after="160"/>
      </w:pPr>
      <w:r>
        <w:t xml:space="preserve"/>
      </w:r>
    </w:p>
    <w:p>
      <w:r>
        <w:br w:type="page"/>
      </w:r>
    </w:p>
    <w:p>
      <w:pPr>
        <w:pStyle w:val="Heading1"/>
        <w:pBdr>
          <w:bottom w:val="single" w:color="E2E8F0" w:sz="4"/>
        </w:pBdr>
        <w:spacing w:after="160" w:before="400"/>
      </w:pPr>
      <w:r>
        <w:rPr>
          <w:b/>
          <w:bCs/>
          <w:color w:val="0F172A"/>
          <w:sz w:val="32"/>
          <w:szCs w:val="32"/>
        </w:rPr>
        <w:t xml:space="preserve">1. Overview</w:t>
      </w:r>
    </w:p>
    <w:p>
      <w:pPr>
        <w:spacing w:after="160"/>
      </w:pPr>
      <w:r>
        <w:rPr>
          <w:color w:val="000000"/>
          <w:sz w:val="22"/>
          <w:szCs w:val="22"/>
        </w:rPr>
        <w:t xml:space="preserve">Product Evaluator is a web application that converts AI agent specifications (PRDs, design docs, system prompts) into structured, schema-valid eval test suites — ready to review and export in minutes rather than days.</w:t>
      </w:r>
    </w:p>
    <w:p>
      <w:pPr>
        <w:spacing w:after="160"/>
      </w:pPr>
      <w:r>
        <w:rPr>
          <w:color w:val="000000"/>
          <w:sz w:val="22"/>
          <w:szCs w:val="22"/>
        </w:rPr>
        <w:t xml:space="preserve">Building evaluations for AI agents is slow, manual, and inconsistent. Engineers and product teams write specs describing what an agent should do, what it must refuse, and how it must respond — but translating those requirements into rigorous test cases requires significant domain expertise and time. Product Evaluator automates the extraction and generation steps, leaving human judgment where it matters most: reviewing and approving the cases before they ship.</w:t>
      </w:r>
    </w:p>
    <w:p>
      <w:pPr>
        <w:pStyle w:val="Heading2"/>
        <w:spacing w:after="100" w:before="280"/>
      </w:pPr>
      <w:r>
        <w:rPr>
          <w:b/>
          <w:bCs/>
          <w:color w:val="2563EB"/>
          <w:sz w:val="26"/>
          <w:szCs w:val="26"/>
        </w:rPr>
        <w:t xml:space="preserve">1.1 Problem Statement</w:t>
      </w:r>
    </w:p>
    <w:p>
      <w:pPr>
        <w:spacing w:after="160"/>
      </w:pPr>
      <w:r>
        <w:rPr>
          <w:b/>
          <w:bCs/>
          <w:sz w:val="22"/>
          <w:szCs w:val="22"/>
        </w:rPr>
        <w:t xml:space="preserve">Manual eval creation is a bottleneck.</w:t>
      </w:r>
      <w:r>
        <w:rPr>
          <w:color w:val="000000"/>
          <w:sz w:val="22"/>
          <w:szCs w:val="22"/>
        </w:rPr>
        <w:t xml:space="preserve"> Teams writing AI agent specs rarely have a clear, repeatable process for deriving test cases. Requirements like "the agent must not issue refunds older than 30 days" map to both a capability case and a guardrail case — a nuance that gets missed without a structured approach.</w:t>
      </w:r>
    </w:p>
    <w:p>
      <w:pPr>
        <w:spacing w:after="160"/>
      </w:pPr>
      <w:r>
        <w:rPr>
          <w:b/>
          <w:bCs/>
          <w:sz w:val="22"/>
          <w:szCs w:val="22"/>
        </w:rPr>
        <w:t xml:space="preserve">Coverage is uneven.</w:t>
      </w:r>
      <w:r>
        <w:rPr>
          <w:color w:val="000000"/>
          <w:sz w:val="22"/>
          <w:szCs w:val="22"/>
        </w:rPr>
        <w:t xml:space="preserve"> Without tooling, guardrail coverage (testing what the agent must refuse) is almost always underrepresented relative to capability coverage.</w:t>
      </w:r>
    </w:p>
    <w:p>
      <w:pPr>
        <w:spacing w:after="160"/>
      </w:pPr>
      <w:r>
        <w:rPr>
          <w:b/>
          <w:bCs/>
          <w:sz w:val="22"/>
          <w:szCs w:val="22"/>
        </w:rPr>
        <w:t xml:space="preserve">Formats aren't standardised.</w:t>
      </w:r>
      <w:r>
        <w:rPr>
          <w:color w:val="000000"/>
          <w:sz w:val="22"/>
          <w:szCs w:val="22"/>
        </w:rPr>
        <w:t xml:space="preserve"> Eval frameworks like promptfoo expect specific YAML/JSON schemas. Hand-authored test files frequently contain structural errors that waste debugging time.</w:t>
      </w:r>
    </w:p>
    <w:p>
      <w:pPr>
        <w:pStyle w:val="Heading2"/>
        <w:spacing w:after="100" w:before="280"/>
      </w:pPr>
      <w:r>
        <w:rPr>
          <w:b/>
          <w:bCs/>
          <w:color w:val="2563EB"/>
          <w:sz w:val="26"/>
          <w:szCs w:val="26"/>
        </w:rPr>
        <w:t xml:space="preserve">1.2 Solution</w:t>
      </w:r>
    </w:p>
    <w:p>
      <w:pPr>
        <w:spacing w:after="160"/>
      </w:pPr>
      <w:r>
        <w:rPr>
          <w:color w:val="000000"/>
          <w:sz w:val="22"/>
          <w:szCs w:val="22"/>
        </w:rPr>
        <w:t xml:space="preserve">Product Evaluator provides a four-step workflow — paste → extract → review → export — powered by Claude claude-sonnet-4-6:</w:t>
      </w:r>
    </w:p>
    <w:p>
      <w:pPr>
        <w:pStyle w:val="ListParagraph"/>
        <w:numPr>
          <w:ilvl w:val="0"/>
          <w:numId w:val="1"/>
        </w:numPr>
        <w:spacing w:after="80"/>
      </w:pPr>
      <w:r>
        <w:rPr>
          <w:color w:val="000000"/>
          <w:sz w:val="22"/>
          <w:szCs w:val="22"/>
        </w:rPr>
        <w:t xml:space="preserve">Classifies every requirement by type: capability, constraint, format, tool-use, or non-testable</w:t>
      </w:r>
    </w:p>
    <w:p>
      <w:pPr>
        <w:pStyle w:val="ListParagraph"/>
        <w:numPr>
          <w:ilvl w:val="0"/>
          <w:numId w:val="1"/>
        </w:numPr>
        <w:spacing w:after="80"/>
      </w:pPr>
      <w:r>
        <w:rPr>
          <w:color w:val="000000"/>
          <w:sz w:val="22"/>
          <w:szCs w:val="22"/>
        </w:rPr>
        <w:t xml:space="preserve">Flags ambiguous requirements and suggests rewrites</w:t>
      </w:r>
    </w:p>
    <w:p>
      <w:pPr>
        <w:pStyle w:val="ListParagraph"/>
        <w:numPr>
          <w:ilvl w:val="0"/>
          <w:numId w:val="1"/>
        </w:numPr>
        <w:spacing w:after="80"/>
      </w:pPr>
      <w:r>
        <w:rPr>
          <w:color w:val="000000"/>
          <w:sz w:val="22"/>
          <w:szCs w:val="22"/>
        </w:rPr>
        <w:t xml:space="preserve">Auto-generates companion guardrail cases for every constraint requirement</w:t>
      </w:r>
    </w:p>
    <w:p>
      <w:pPr>
        <w:pStyle w:val="ListParagraph"/>
        <w:numPr>
          <w:ilvl w:val="0"/>
          <w:numId w:val="1"/>
        </w:numPr>
        <w:spacing w:after="80"/>
      </w:pPr>
      <w:r>
        <w:rPr>
          <w:color w:val="000000"/>
          <w:sz w:val="22"/>
          <w:szCs w:val="22"/>
        </w:rPr>
        <w:t xml:space="preserve">Produces binary LLM-judge rubrics for each eval case</w:t>
      </w:r>
    </w:p>
    <w:p>
      <w:pPr>
        <w:pStyle w:val="ListParagraph"/>
        <w:numPr>
          <w:ilvl w:val="0"/>
          <w:numId w:val="1"/>
        </w:numPr>
        <w:spacing w:after="80"/>
      </w:pPr>
      <w:r>
        <w:rPr>
          <w:color w:val="000000"/>
          <w:sz w:val="22"/>
          <w:szCs w:val="22"/>
        </w:rPr>
        <w:t xml:space="preserve">Exports schema-valid YAML (promptfoo format) or JSON</w:t>
      </w:r>
    </w:p>
    <w:p>
      <w:pPr>
        <w:pStyle w:val="Heading2"/>
        <w:spacing w:after="100" w:before="280"/>
      </w:pPr>
      <w:r>
        <w:rPr>
          <w:b/>
          <w:bCs/>
          <w:color w:val="2563EB"/>
          <w:sz w:val="26"/>
          <w:szCs w:val="26"/>
        </w:rPr>
        <w:t xml:space="preserve">1.3 Target Users</w:t>
      </w:r>
    </w:p>
    <w:p>
      <w:pPr>
        <w:spacing w:after="160"/>
      </w:pPr>
      <w:r>
        <w:rPr>
          <w:b/>
          <w:bCs/>
          <w:sz w:val="22"/>
          <w:szCs w:val="22"/>
        </w:rPr>
        <w:t xml:space="preserve">Primary:</w:t>
      </w:r>
      <w:r>
        <w:rPr>
          <w:color w:val="000000"/>
          <w:sz w:val="22"/>
          <w:szCs w:val="22"/>
        </w:rPr>
        <w:t xml:space="preserve"> AI product engineers and ML engineers who write agent specs and own evaluation pipelines.</w:t>
      </w:r>
    </w:p>
    <w:p>
      <w:pPr>
        <w:spacing w:after="160"/>
      </w:pPr>
      <w:r>
        <w:rPr>
          <w:b/>
          <w:bCs/>
          <w:sz w:val="22"/>
          <w:szCs w:val="22"/>
        </w:rPr>
        <w:t xml:space="preserve">Secondary:</w:t>
      </w:r>
      <w:r>
        <w:rPr>
          <w:color w:val="000000"/>
          <w:sz w:val="22"/>
          <w:szCs w:val="22"/>
        </w:rPr>
        <w:t xml:space="preserve"> Product managers and technical leads who author PRDs and want to verify completeness before handoff.</w:t>
      </w:r>
    </w:p>
    <w:p>
      <w:pPr>
        <w:pStyle w:val="Heading1"/>
        <w:pBdr>
          <w:bottom w:val="single" w:color="E2E8F0" w:sz="4"/>
        </w:pBdr>
        <w:spacing w:after="160" w:before="400"/>
      </w:pPr>
      <w:r>
        <w:rPr>
          <w:b/>
          <w:bCs/>
          <w:color w:val="0F172A"/>
          <w:sz w:val="32"/>
          <w:szCs w:val="32"/>
        </w:rPr>
        <w:t xml:space="preserve">2. Goals &amp; Non-Goals</w:t>
      </w:r>
    </w:p>
    <w:p>
      <w:pPr>
        <w:pStyle w:val="Heading2"/>
        <w:spacing w:after="100" w:before="280"/>
      </w:pPr>
      <w:r>
        <w:rPr>
          <w:b/>
          <w:bCs/>
          <w:color w:val="2563EB"/>
          <w:sz w:val="26"/>
          <w:szCs w:val="26"/>
        </w:rPr>
        <w:t xml:space="preserve">2.1 Goals</w:t>
      </w:r>
    </w:p>
    <w:p>
      <w:pPr>
        <w:pStyle w:val="ListParagraph"/>
        <w:numPr>
          <w:ilvl w:val="0"/>
          <w:numId w:val="1"/>
        </w:numPr>
        <w:spacing w:after="80"/>
      </w:pPr>
      <w:r>
        <w:rPr>
          <w:color w:val="000000"/>
          <w:sz w:val="22"/>
          <w:szCs w:val="22"/>
        </w:rPr>
        <w:t xml:space="preserve">Reduce time from spec to first eval run from hours to under 5 minutes</w:t>
      </w:r>
    </w:p>
    <w:p>
      <w:pPr>
        <w:pStyle w:val="ListParagraph"/>
        <w:numPr>
          <w:ilvl w:val="0"/>
          <w:numId w:val="1"/>
        </w:numPr>
        <w:spacing w:after="80"/>
      </w:pPr>
      <w:r>
        <w:rPr>
          <w:color w:val="000000"/>
          <w:sz w:val="22"/>
          <w:szCs w:val="22"/>
        </w:rPr>
        <w:t xml:space="preserve">Ensure every constraint requirement generates at least one guardrail case</w:t>
      </w:r>
    </w:p>
    <w:p>
      <w:pPr>
        <w:pStyle w:val="ListParagraph"/>
        <w:numPr>
          <w:ilvl w:val="0"/>
          <w:numId w:val="1"/>
        </w:numPr>
        <w:spacing w:after="80"/>
      </w:pPr>
      <w:r>
        <w:rPr>
          <w:color w:val="000000"/>
          <w:sz w:val="22"/>
          <w:szCs w:val="22"/>
        </w:rPr>
        <w:t xml:space="preserve">Produce YAML output that passes promptfoo schema validation without modification</w:t>
      </w:r>
    </w:p>
    <w:p>
      <w:pPr>
        <w:pStyle w:val="ListParagraph"/>
        <w:numPr>
          <w:ilvl w:val="0"/>
          <w:numId w:val="1"/>
        </w:numPr>
        <w:spacing w:after="80"/>
      </w:pPr>
      <w:r>
        <w:rPr>
          <w:color w:val="000000"/>
          <w:sz w:val="22"/>
          <w:szCs w:val="22"/>
        </w:rPr>
        <w:t xml:space="preserve">Give reviewers enough context (source excerpt, rubric, expected behaviour) to approve or drop each case in under 30 seconds</w:t>
      </w:r>
    </w:p>
    <w:p>
      <w:pPr>
        <w:pStyle w:val="ListParagraph"/>
        <w:numPr>
          <w:ilvl w:val="0"/>
          <w:numId w:val="1"/>
        </w:numPr>
        <w:spacing w:after="80"/>
      </w:pPr>
      <w:r>
        <w:rPr>
          <w:color w:val="000000"/>
          <w:sz w:val="22"/>
          <w:szCs w:val="22"/>
        </w:rPr>
        <w:t xml:space="preserve">Surface ambiguous requirements before they become untestable cases</w:t>
      </w:r>
    </w:p>
    <w:p>
      <w:pPr>
        <w:pStyle w:val="Heading2"/>
        <w:spacing w:after="100" w:before="280"/>
      </w:pPr>
      <w:r>
        <w:rPr>
          <w:b/>
          <w:bCs/>
          <w:color w:val="2563EB"/>
          <w:sz w:val="26"/>
          <w:szCs w:val="26"/>
        </w:rPr>
        <w:t xml:space="preserve">2.2 Non-Goals</w:t>
      </w:r>
    </w:p>
    <w:p>
      <w:pPr>
        <w:pStyle w:val="ListParagraph"/>
        <w:numPr>
          <w:ilvl w:val="0"/>
          <w:numId w:val="1"/>
        </w:numPr>
        <w:spacing w:after="80"/>
      </w:pPr>
      <w:r>
        <w:rPr>
          <w:color w:val="000000"/>
          <w:sz w:val="22"/>
          <w:szCs w:val="22"/>
        </w:rPr>
        <w:t xml:space="preserve">This tool does not run evals — it produces the test suite definition, not execution infrastructure</w:t>
      </w:r>
    </w:p>
    <w:p>
      <w:pPr>
        <w:pStyle w:val="ListParagraph"/>
        <w:numPr>
          <w:ilvl w:val="0"/>
          <w:numId w:val="1"/>
        </w:numPr>
        <w:spacing w:after="80"/>
      </w:pPr>
      <w:r>
        <w:rPr>
          <w:color w:val="000000"/>
          <w:sz w:val="22"/>
          <w:szCs w:val="22"/>
        </w:rPr>
        <w:t xml:space="preserve">It does not parse structured OpenAPI specs or code; it works from free-text PRDs</w:t>
      </w:r>
    </w:p>
    <w:p>
      <w:pPr>
        <w:pStyle w:val="ListParagraph"/>
        <w:numPr>
          <w:ilvl w:val="0"/>
          <w:numId w:val="1"/>
        </w:numPr>
        <w:spacing w:after="80"/>
      </w:pPr>
      <w:r>
        <w:rPr>
          <w:color w:val="000000"/>
          <w:sz w:val="22"/>
          <w:szCs w:val="22"/>
        </w:rPr>
        <w:t xml:space="preserve">It does not persist sessions between devices or users — sessions are ephemeral (24-hour TTL)</w:t>
      </w:r>
    </w:p>
    <w:p>
      <w:pPr>
        <w:pStyle w:val="ListParagraph"/>
        <w:numPr>
          <w:ilvl w:val="0"/>
          <w:numId w:val="1"/>
        </w:numPr>
        <w:spacing w:after="80"/>
      </w:pPr>
      <w:r>
        <w:rPr>
          <w:color w:val="000000"/>
          <w:sz w:val="22"/>
          <w:szCs w:val="22"/>
        </w:rPr>
        <w:t xml:space="preserve">It does not support batch processing of multiple specs in one session</w:t>
      </w:r>
    </w:p>
    <w:p>
      <w:pPr>
        <w:pStyle w:val="ListParagraph"/>
        <w:numPr>
          <w:ilvl w:val="0"/>
          <w:numId w:val="1"/>
        </w:numPr>
        <w:spacing w:after="80"/>
      </w:pPr>
      <w:r>
        <w:rPr>
          <w:color w:val="000000"/>
          <w:sz w:val="22"/>
          <w:szCs w:val="22"/>
        </w:rPr>
        <w:t xml:space="preserve">It is not a general-purpose document editor; requirements cannot be fully authored from scratch inside the UI</w:t>
      </w:r>
    </w:p>
    <w:p>
      <w:pPr>
        <w:pStyle w:val="Heading1"/>
        <w:pBdr>
          <w:bottom w:val="single" w:color="E2E8F0" w:sz="4"/>
        </w:pBdr>
        <w:spacing w:after="160" w:before="400"/>
      </w:pPr>
      <w:r>
        <w:rPr>
          <w:b/>
          <w:bCs/>
          <w:color w:val="0F172A"/>
          <w:sz w:val="32"/>
          <w:szCs w:val="32"/>
        </w:rPr>
        <w:t xml:space="preserve">3. User Flows</w:t>
      </w:r>
    </w:p>
    <w:p>
      <w:pPr>
        <w:pStyle w:val="Heading2"/>
        <w:spacing w:after="100" w:before="280"/>
      </w:pPr>
      <w:r>
        <w:rPr>
          <w:b/>
          <w:bCs/>
          <w:color w:val="2563EB"/>
          <w:sz w:val="26"/>
          <w:szCs w:val="26"/>
        </w:rPr>
        <w:t xml:space="preserve">3.1 Primary Flow: Spec to Export</w:t>
      </w:r>
    </w:p>
    <w:p>
      <w:pPr>
        <w:spacing w:after="160"/>
      </w:pPr>
      <w:r>
        <w:rPr>
          <w:color w:val="000000"/>
          <w:sz w:val="22"/>
          <w:szCs w:val="22"/>
        </w:rPr>
        <w:t xml:space="preserve">The complete end-to-end flow has four sequential stages.</w:t>
      </w:r>
    </w:p>
    <w:p>
      <w:pPr>
        <w:pStyle w:val="Heading3"/>
        <w:spacing w:after="80" w:before="200"/>
      </w:pPr>
      <w:r>
        <w:rPr>
          <w:b/>
          <w:bCs/>
          <w:color w:val="0F172A"/>
          <w:sz w:val="22"/>
          <w:szCs w:val="22"/>
        </w:rPr>
        <w:t xml:space="preserve">Stage 1 — Input</w:t>
      </w:r>
    </w:p>
    <w:p>
      <w:pPr>
        <w:spacing w:after="160"/>
      </w:pPr>
      <w:r>
        <w:rPr>
          <w:color w:val="000000"/>
          <w:sz w:val="22"/>
          <w:szCs w:val="22"/>
        </w:rPr>
        <w:t xml:space="preserve">The user lands on the home screen and provides their agent specification via one of two methods:</w:t>
      </w:r>
    </w:p>
    <w:p>
      <w:pPr>
        <w:pStyle w:val="ListParagraph"/>
        <w:numPr>
          <w:ilvl w:val="0"/>
          <w:numId w:val="1"/>
        </w:numPr>
        <w:spacing w:after="80"/>
      </w:pPr>
      <w:r>
        <w:rPr>
          <w:color w:val="000000"/>
          <w:sz w:val="22"/>
          <w:szCs w:val="22"/>
        </w:rPr>
        <w:t xml:space="preserve">Paste free-text directly into the editor textarea</w:t>
      </w:r>
    </w:p>
    <w:p>
      <w:pPr>
        <w:pStyle w:val="ListParagraph"/>
        <w:numPr>
          <w:ilvl w:val="0"/>
          <w:numId w:val="1"/>
        </w:numPr>
        <w:spacing w:after="80"/>
      </w:pPr>
      <w:r>
        <w:rPr>
          <w:color w:val="000000"/>
          <w:sz w:val="22"/>
          <w:szCs w:val="22"/>
        </w:rPr>
        <w:t xml:space="preserve">Upload a .txt or .md file (max 5 MB)</w:t>
      </w:r>
    </w:p>
    <w:p>
      <w:pPr>
        <w:spacing w:after="160"/>
      </w:pPr>
      <w:r>
        <w:rPr>
          <w:color w:val="000000"/>
          <w:sz w:val="22"/>
          <w:szCs w:val="22"/>
        </w:rPr>
        <w:t xml:space="preserve">A sample spec (a billing agent scenario) is available via a one-click load to help new users understand the expected format. Once the spec is entered, the user clicks Extract Requirements. The app creates a session and immediately calls the LLM extraction pipeline.</w:t>
      </w:r>
    </w:p>
    <w:p>
      <w:pPr>
        <w:pBdr>
          <w:left w:val="single" w:color="2563EB" w:sz="12"/>
        </w:pBdr>
        <w:spacing w:after="120"/>
        <w:ind w:left="431"/>
      </w:pPr>
      <w:r>
        <w:rPr>
          <w:color w:val="64748B"/>
          <w:sz w:val="22"/>
          <w:szCs w:val="22"/>
        </w:rPr>
        <w:t xml:space="preserve">The spec is capped at 40,000 characters before being sent to Claude. Very long specifications are silently truncated at that boundary.</w:t>
      </w:r>
    </w:p>
    <w:p>
      <w:pPr>
        <w:pStyle w:val="Heading3"/>
        <w:spacing w:after="80" w:before="200"/>
      </w:pPr>
      <w:r>
        <w:rPr>
          <w:b/>
          <w:bCs/>
          <w:color w:val="0F172A"/>
          <w:sz w:val="22"/>
          <w:szCs w:val="22"/>
        </w:rPr>
        <w:t xml:space="preserve">Stage 2 — Requirements Review</w:t>
      </w:r>
    </w:p>
    <w:p>
      <w:pPr>
        <w:spacing w:after="160"/>
      </w:pPr>
      <w:r>
        <w:rPr>
          <w:color w:val="000000"/>
          <w:sz w:val="22"/>
          <w:szCs w:val="22"/>
        </w:rPr>
        <w:t xml:space="preserve">Extracted requirements are displayed as cards, one per requirement, each showing:</w:t>
      </w:r>
    </w:p>
    <w:p>
      <w:pPr>
        <w:pStyle w:val="ListParagraph"/>
        <w:numPr>
          <w:ilvl w:val="0"/>
          <w:numId w:val="1"/>
        </w:numPr>
        <w:spacing w:after="80"/>
      </w:pPr>
      <w:r>
        <w:rPr>
          <w:color w:val="000000"/>
          <w:sz w:val="22"/>
          <w:szCs w:val="22"/>
        </w:rPr>
        <w:t xml:space="preserve">A sequential requirement ID (REQ-001, REQ-002, …)</w:t>
      </w:r>
    </w:p>
    <w:p>
      <w:pPr>
        <w:pStyle w:val="ListParagraph"/>
        <w:numPr>
          <w:ilvl w:val="0"/>
          <w:numId w:val="1"/>
        </w:numPr>
        <w:spacing w:after="80"/>
      </w:pPr>
      <w:r>
        <w:rPr>
          <w:color w:val="000000"/>
          <w:sz w:val="22"/>
          <w:szCs w:val="22"/>
        </w:rPr>
        <w:t xml:space="preserve">A type badge: CAPABILITY · CONSTRAINT · FORMAT · TOOL-USE · NON-TESTABLE</w:t>
      </w:r>
    </w:p>
    <w:p>
      <w:pPr>
        <w:pStyle w:val="ListParagraph"/>
        <w:numPr>
          <w:ilvl w:val="0"/>
          <w:numId w:val="1"/>
        </w:numPr>
        <w:spacing w:after="80"/>
      </w:pPr>
      <w:r>
        <w:rPr>
          <w:color w:val="000000"/>
          <w:sz w:val="22"/>
          <w:szCs w:val="22"/>
        </w:rPr>
        <w:t xml:space="preserve">The full requirement text</w:t>
      </w:r>
    </w:p>
    <w:p>
      <w:pPr>
        <w:pStyle w:val="ListParagraph"/>
        <w:numPr>
          <w:ilvl w:val="0"/>
          <w:numId w:val="1"/>
        </w:numPr>
        <w:spacing w:after="80"/>
      </w:pPr>
      <w:r>
        <w:rPr>
          <w:color w:val="000000"/>
          <w:sz w:val="22"/>
          <w:szCs w:val="22"/>
        </w:rPr>
        <w:t xml:space="preserve">An ambiguity warning with an expandable suggested rewrite (when the AI flagged it)</w:t>
      </w:r>
    </w:p>
    <w:p>
      <w:pPr>
        <w:pStyle w:val="ListParagraph"/>
        <w:numPr>
          <w:ilvl w:val="0"/>
          <w:numId w:val="1"/>
        </w:numPr>
        <w:spacing w:after="80"/>
      </w:pPr>
      <w:r>
        <w:rPr>
          <w:color w:val="000000"/>
          <w:sz w:val="22"/>
          <w:szCs w:val="22"/>
        </w:rPr>
        <w:t xml:space="preserve">An include/exclude toggle switch</w:t>
      </w:r>
    </w:p>
    <w:p>
      <w:pPr>
        <w:spacing w:after="160"/>
      </w:pPr>
      <w:r>
        <w:rPr>
          <w:color w:val="000000"/>
          <w:sz w:val="22"/>
          <w:szCs w:val="22"/>
        </w:rPr>
        <w:t xml:space="preserve">Non-testable requirements are automatically excluded and visually dimmed. The user can toggle any testable requirement off if they want to exclude it from case generation. When ready, the user clicks Generate Cases, which sends the list of included requirement IDs to the case generation pipeline.</w:t>
      </w:r>
    </w:p>
    <w:p>
      <w:pPr>
        <w:pStyle w:val="Heading3"/>
        <w:spacing w:after="80" w:before="200"/>
      </w:pPr>
      <w:r>
        <w:rPr>
          <w:b/>
          <w:bCs/>
          <w:color w:val="0F172A"/>
          <w:sz w:val="22"/>
          <w:szCs w:val="22"/>
        </w:rPr>
        <w:t xml:space="preserve">Stage 3 — Cases Review</w:t>
      </w:r>
    </w:p>
    <w:p>
      <w:pPr>
        <w:spacing w:after="160"/>
      </w:pPr>
      <w:r>
        <w:rPr>
          <w:color w:val="000000"/>
          <w:sz w:val="22"/>
          <w:szCs w:val="22"/>
        </w:rPr>
        <w:t xml:space="preserve">Generated cases are displayed in a source-to-case layout: the left column shows the source requirement, the right column shows the full eval case including:</w:t>
      </w:r>
    </w:p>
    <w:p>
      <w:pPr>
        <w:pStyle w:val="ListParagraph"/>
        <w:numPr>
          <w:ilvl w:val="0"/>
          <w:numId w:val="1"/>
        </w:numPr>
        <w:spacing w:after="80"/>
      </w:pPr>
      <w:r>
        <w:rPr>
          <w:color w:val="000000"/>
          <w:sz w:val="22"/>
          <w:szCs w:val="22"/>
        </w:rPr>
        <w:t xml:space="preserve">Case ID and category badge (TASK SUCCESS / GUARDRAIL / FORMAT / TOOL USE)</w:t>
      </w:r>
    </w:p>
    <w:p>
      <w:pPr>
        <w:pStyle w:val="ListParagraph"/>
        <w:numPr>
          <w:ilvl w:val="0"/>
          <w:numId w:val="1"/>
        </w:numPr>
        <w:spacing w:after="80"/>
      </w:pPr>
      <w:r>
        <w:rPr>
          <w:color w:val="000000"/>
          <w:sz w:val="22"/>
          <w:szCs w:val="22"/>
        </w:rPr>
        <w:t xml:space="preserve">Status badge (DRAFT / APPROVED / DROPPED)</w:t>
      </w:r>
    </w:p>
    <w:p>
      <w:pPr>
        <w:pStyle w:val="ListParagraph"/>
        <w:numPr>
          <w:ilvl w:val="0"/>
          <w:numId w:val="1"/>
        </w:numPr>
        <w:spacing w:after="80"/>
      </w:pPr>
      <w:r>
        <w:rPr>
          <w:color w:val="000000"/>
          <w:sz w:val="22"/>
          <w:szCs w:val="22"/>
        </w:rPr>
        <w:t xml:space="preserve">A realistic test prompt (the message a user would send to the agent)</w:t>
      </w:r>
    </w:p>
    <w:p>
      <w:pPr>
        <w:pStyle w:val="ListParagraph"/>
        <w:numPr>
          <w:ilvl w:val="0"/>
          <w:numId w:val="1"/>
        </w:numPr>
        <w:spacing w:after="80"/>
      </w:pPr>
      <w:r>
        <w:rPr>
          <w:color w:val="000000"/>
          <w:sz w:val="22"/>
          <w:szCs w:val="22"/>
        </w:rPr>
        <w:t xml:space="preserve">Expected behaviour description</w:t>
      </w:r>
    </w:p>
    <w:p>
      <w:pPr>
        <w:pStyle w:val="ListParagraph"/>
        <w:numPr>
          <w:ilvl w:val="0"/>
          <w:numId w:val="1"/>
        </w:numPr>
        <w:spacing w:after="80"/>
      </w:pPr>
      <w:r>
        <w:rPr>
          <w:color w:val="000000"/>
          <w:sz w:val="22"/>
          <w:szCs w:val="22"/>
        </w:rPr>
        <w:t xml:space="preserve">LLM-judge rubric (binary pass/fail criteria)</w:t>
      </w:r>
    </w:p>
    <w:p>
      <w:pPr>
        <w:spacing w:after="160"/>
      </w:pPr>
      <w:r>
        <w:rPr>
          <w:color w:val="000000"/>
          <w:sz w:val="22"/>
          <w:szCs w:val="22"/>
        </w:rPr>
        <w:t xml:space="preserve">For each case the reviewer can: Approve (marks case for export), Edit (placeholder for future inline editing), or Drop (removes case from export but keeps it visible).</w:t>
      </w:r>
    </w:p>
    <w:p>
      <w:pPr>
        <w:spacing w:after="160"/>
      </w:pPr>
      <w:r>
        <w:rPr>
          <w:color w:val="000000"/>
          <w:sz w:val="22"/>
          <w:szCs w:val="22"/>
        </w:rPr>
        <w:t xml:space="preserve">A coverage bar at the top of the page shows: total approved · guardrails · format · tool use counts in real-time as the user approves cases.</w:t>
      </w:r>
    </w:p>
    <w:p>
      <w:pPr>
        <w:pBdr>
          <w:left w:val="single" w:color="2563EB" w:sz="12"/>
        </w:pBdr>
        <w:spacing w:after="120"/>
        <w:ind w:left="431"/>
      </w:pPr>
      <w:r>
        <w:rPr>
          <w:color w:val="64748B"/>
          <w:sz w:val="22"/>
          <w:szCs w:val="22"/>
        </w:rPr>
        <w:t xml:space="preserve">Constraint requirements always generate two cases: one task_success case (the in-policy path) and one guardrail case (the out-of-policy refusal path). This pairing is enforced by the generation pipeline and is non-configurable.</w:t>
      </w:r>
    </w:p>
    <w:p>
      <w:pPr>
        <w:pStyle w:val="Heading3"/>
        <w:spacing w:after="80" w:before="200"/>
      </w:pPr>
      <w:r>
        <w:rPr>
          <w:b/>
          <w:bCs/>
          <w:color w:val="0F172A"/>
          <w:sz w:val="22"/>
          <w:szCs w:val="22"/>
        </w:rPr>
        <w:t xml:space="preserve">Stage 4 — Export</w:t>
      </w:r>
    </w:p>
    <w:p>
      <w:pPr>
        <w:spacing w:after="160"/>
      </w:pPr>
      <w:r>
        <w:rPr>
          <w:color w:val="000000"/>
          <w:sz w:val="22"/>
          <w:szCs w:val="22"/>
        </w:rPr>
        <w:t xml:space="preserve">Once at least one case is approved, the user navigates to the Export screen which shows:</w:t>
      </w:r>
    </w:p>
    <w:p>
      <w:pPr>
        <w:pStyle w:val="ListParagraph"/>
        <w:numPr>
          <w:ilvl w:val="0"/>
          <w:numId w:val="1"/>
        </w:numPr>
        <w:spacing w:after="80"/>
      </w:pPr>
      <w:r>
        <w:rPr>
          <w:color w:val="000000"/>
          <w:sz w:val="22"/>
          <w:szCs w:val="22"/>
        </w:rPr>
        <w:t xml:space="preserve">A summary grid: Task Success · Guardrails · Format · Tool Use counts</w:t>
      </w:r>
    </w:p>
    <w:p>
      <w:pPr>
        <w:pStyle w:val="ListParagraph"/>
        <w:numPr>
          <w:ilvl w:val="0"/>
          <w:numId w:val="1"/>
        </w:numPr>
        <w:spacing w:after="80"/>
      </w:pPr>
      <w:r>
        <w:rPr>
          <w:color w:val="000000"/>
          <w:sz w:val="22"/>
          <w:szCs w:val="22"/>
        </w:rPr>
        <w:t xml:space="preserve">Two download buttons: YAML and JSON</w:t>
      </w:r>
    </w:p>
    <w:p>
      <w:pPr>
        <w:spacing w:after="160"/>
      </w:pPr>
      <w:r>
        <w:rPr>
          <w:color w:val="000000"/>
          <w:sz w:val="22"/>
          <w:szCs w:val="22"/>
        </w:rPr>
        <w:t xml:space="preserve">Clicking either button triggers a POST to the export API, which validates the approved cases against required schema fields and streams back a YAML (js-yaml dump, promptfoo-compatible) or JSON (pretty-printed) file for browser download.</w:t>
      </w:r>
    </w:p>
    <w:p>
      <w:pPr>
        <w:pStyle w:val="Heading1"/>
        <w:pBdr>
          <w:bottom w:val="single" w:color="E2E8F0" w:sz="4"/>
        </w:pBdr>
        <w:spacing w:after="160" w:before="400"/>
      </w:pPr>
      <w:r>
        <w:rPr>
          <w:b/>
          <w:bCs/>
          <w:color w:val="0F172A"/>
          <w:sz w:val="32"/>
          <w:szCs w:val="32"/>
        </w:rPr>
        <w:t xml:space="preserve">4. Features</w:t>
      </w:r>
    </w:p>
    <w:p>
      <w:pPr>
        <w:pStyle w:val="Heading2"/>
        <w:spacing w:after="100" w:before="280"/>
      </w:pPr>
      <w:r>
        <w:rPr>
          <w:b/>
          <w:bCs/>
          <w:color w:val="2563EB"/>
          <w:sz w:val="26"/>
          <w:szCs w:val="26"/>
        </w:rPr>
        <w:t xml:space="preserve">4.1 Requirement Extraction</w:t>
      </w:r>
    </w:p>
    <w:p>
      <w:pPr>
        <w:spacing w:after="160"/>
      </w:pPr>
      <w:r>
        <w:rPr>
          <w:color w:val="000000"/>
          <w:sz w:val="22"/>
          <w:szCs w:val="22"/>
        </w:rPr>
        <w:t xml:space="preserve">Powered by Claude claude-sonnet-4-6 with a specialised system prompt. The extraction pass reads the full spec (up to 40,000 characters) and returns a structured JSON array of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80"/>
              <w:left w:type="dxa" w:w="120"/>
              <w:bottom w:type="dxa" w:w="80"/>
              <w:right w:type="dxa" w:w="120"/>
            </w:tcMar>
            <w:vAlign w:val="center"/>
          </w:tcPr>
          <w:p>
            <w:r>
              <w:rPr>
                <w:b/>
                <w:bCs/>
                <w:color w:val="FFFFFF"/>
                <w:sz w:val="20"/>
                <w:szCs w:val="20"/>
              </w:rPr>
              <w:t xml:space="preserve">Type</w:t>
            </w:r>
          </w:p>
        </w:tc>
        <w:tc>
          <w:tcPr>
            <w:shd w:fill="0F172A" w:val="clear"/>
            <w:tcMar>
              <w:top w:type="dxa" w:w="80"/>
              <w:left w:type="dxa" w:w="120"/>
              <w:bottom w:type="dxa" w:w="80"/>
              <w:right w:type="dxa" w:w="120"/>
            </w:tcMar>
            <w:vAlign w:val="center"/>
          </w:tcPr>
          <w:p>
            <w:r>
              <w:rPr>
                <w:b/>
                <w:bCs/>
                <w:color w:val="FFFFFF"/>
                <w:sz w:val="20"/>
                <w:szCs w:val="20"/>
              </w:rPr>
              <w:t xml:space="preserve">Description</w:t>
            </w:r>
          </w:p>
        </w:tc>
        <w:tc>
          <w:tcPr>
            <w:shd w:fill="0F172A" w:val="clear"/>
            <w:tcMar>
              <w:top w:type="dxa" w:w="80"/>
              <w:left w:type="dxa" w:w="120"/>
              <w:bottom w:type="dxa" w:w="80"/>
              <w:right w:type="dxa" w:w="120"/>
            </w:tcMar>
            <w:vAlign w:val="center"/>
          </w:tcPr>
          <w:p>
            <w:r>
              <w:rPr>
                <w:b/>
                <w:bCs/>
                <w:color w:val="FFFFFF"/>
                <w:sz w:val="20"/>
                <w:szCs w:val="20"/>
              </w:rPr>
              <w:t xml:space="preserve">Generates</w:t>
            </w:r>
          </w:p>
        </w:tc>
      </w:tr>
      <w:tr>
        <w:tc>
          <w:tcPr>
            <w:tcMar>
              <w:top w:type="dxa" w:w="60"/>
              <w:left w:type="dxa" w:w="120"/>
              <w:bottom w:type="dxa" w:w="60"/>
              <w:right w:type="dxa" w:w="120"/>
            </w:tcMar>
            <w:vAlign w:val="center"/>
          </w:tcPr>
          <w:p>
            <w:pPr>
              <w:spacing w:after="0"/>
            </w:pPr>
            <w:r>
              <w:rPr>
                <w:color w:val="000000"/>
                <w:sz w:val="22"/>
                <w:szCs w:val="22"/>
              </w:rPr>
              <w:t xml:space="preserve">capability</w:t>
            </w:r>
          </w:p>
        </w:tc>
        <w:tc>
          <w:tcPr>
            <w:tcMar>
              <w:top w:type="dxa" w:w="60"/>
              <w:left w:type="dxa" w:w="120"/>
              <w:bottom w:type="dxa" w:w="60"/>
              <w:right w:type="dxa" w:w="120"/>
            </w:tcMar>
            <w:vAlign w:val="center"/>
          </w:tcPr>
          <w:p>
            <w:pPr>
              <w:spacing w:after="0"/>
            </w:pPr>
            <w:r>
              <w:rPr>
                <w:color w:val="000000"/>
                <w:sz w:val="22"/>
                <w:szCs w:val="22"/>
              </w:rPr>
              <w:t xml:space="preserve">Agent must successfully perform a positive action</w:t>
            </w:r>
          </w:p>
        </w:tc>
        <w:tc>
          <w:tcPr>
            <w:tcMar>
              <w:top w:type="dxa" w:w="60"/>
              <w:left w:type="dxa" w:w="120"/>
              <w:bottom w:type="dxa" w:w="60"/>
              <w:right w:type="dxa" w:w="120"/>
            </w:tcMar>
            <w:vAlign w:val="center"/>
          </w:tcPr>
          <w:p>
            <w:pPr>
              <w:spacing w:after="0"/>
            </w:pPr>
            <w:r>
              <w:rPr>
                <w:color w:val="000000"/>
                <w:sz w:val="22"/>
                <w:szCs w:val="22"/>
              </w:rPr>
              <w:t xml:space="preserve">1 task_success case</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constraint</w:t>
            </w:r>
          </w:p>
        </w:tc>
        <w:tc>
          <w:tcPr>
            <w:shd w:fill="F1F5F9" w:val="clear"/>
            <w:tcMar>
              <w:top w:type="dxa" w:w="60"/>
              <w:left w:type="dxa" w:w="120"/>
              <w:bottom w:type="dxa" w:w="60"/>
              <w:right w:type="dxa" w:w="120"/>
            </w:tcMar>
            <w:vAlign w:val="center"/>
          </w:tcPr>
          <w:p>
            <w:pPr>
              <w:spacing w:after="0"/>
            </w:pPr>
            <w:r>
              <w:rPr>
                <w:color w:val="000000"/>
                <w:sz w:val="22"/>
                <w:szCs w:val="22"/>
              </w:rPr>
              <w:t xml:space="preserve">Agent must NOT do something, or only under conditions</w:t>
            </w:r>
          </w:p>
        </w:tc>
        <w:tc>
          <w:tcPr>
            <w:shd w:fill="F1F5F9" w:val="clear"/>
            <w:tcMar>
              <w:top w:type="dxa" w:w="60"/>
              <w:left w:type="dxa" w:w="120"/>
              <w:bottom w:type="dxa" w:w="60"/>
              <w:right w:type="dxa" w:w="120"/>
            </w:tcMar>
            <w:vAlign w:val="center"/>
          </w:tcPr>
          <w:p>
            <w:pPr>
              <w:spacing w:after="0"/>
            </w:pPr>
            <w:r>
              <w:rPr>
                <w:color w:val="000000"/>
                <w:sz w:val="22"/>
                <w:szCs w:val="22"/>
              </w:rPr>
              <w:t xml:space="preserve">1 task_success case + 1 guardrail case</w:t>
            </w:r>
          </w:p>
        </w:tc>
      </w:tr>
      <w:tr>
        <w:tc>
          <w:tcPr>
            <w:tcMar>
              <w:top w:type="dxa" w:w="60"/>
              <w:left w:type="dxa" w:w="120"/>
              <w:bottom w:type="dxa" w:w="60"/>
              <w:right w:type="dxa" w:w="120"/>
            </w:tcMar>
            <w:vAlign w:val="center"/>
          </w:tcPr>
          <w:p>
            <w:pPr>
              <w:spacing w:after="0"/>
            </w:pPr>
            <w:r>
              <w:rPr>
                <w:color w:val="000000"/>
                <w:sz w:val="22"/>
                <w:szCs w:val="22"/>
              </w:rPr>
              <w:t xml:space="preserve">format</w:t>
            </w:r>
          </w:p>
        </w:tc>
        <w:tc>
          <w:tcPr>
            <w:tcMar>
              <w:top w:type="dxa" w:w="60"/>
              <w:left w:type="dxa" w:w="120"/>
              <w:bottom w:type="dxa" w:w="60"/>
              <w:right w:type="dxa" w:w="120"/>
            </w:tcMar>
            <w:vAlign w:val="center"/>
          </w:tcPr>
          <w:p>
            <w:pPr>
              <w:spacing w:after="0"/>
            </w:pPr>
            <w:r>
              <w:rPr>
                <w:color w:val="000000"/>
                <w:sz w:val="22"/>
                <w:szCs w:val="22"/>
              </w:rPr>
              <w:t xml:space="preserve">Agent must respond in a specific format or style</w:t>
            </w:r>
          </w:p>
        </w:tc>
        <w:tc>
          <w:tcPr>
            <w:tcMar>
              <w:top w:type="dxa" w:w="60"/>
              <w:left w:type="dxa" w:w="120"/>
              <w:bottom w:type="dxa" w:w="60"/>
              <w:right w:type="dxa" w:w="120"/>
            </w:tcMar>
            <w:vAlign w:val="center"/>
          </w:tcPr>
          <w:p>
            <w:pPr>
              <w:spacing w:after="0"/>
            </w:pPr>
            <w:r>
              <w:rPr>
                <w:color w:val="000000"/>
                <w:sz w:val="22"/>
                <w:szCs w:val="22"/>
              </w:rPr>
              <w:t xml:space="preserve">1 format case</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tool_use</w:t>
            </w:r>
          </w:p>
        </w:tc>
        <w:tc>
          <w:tcPr>
            <w:shd w:fill="F1F5F9" w:val="clear"/>
            <w:tcMar>
              <w:top w:type="dxa" w:w="60"/>
              <w:left w:type="dxa" w:w="120"/>
              <w:bottom w:type="dxa" w:w="60"/>
              <w:right w:type="dxa" w:w="120"/>
            </w:tcMar>
            <w:vAlign w:val="center"/>
          </w:tcPr>
          <w:p>
            <w:pPr>
              <w:spacing w:after="0"/>
            </w:pPr>
            <w:r>
              <w:rPr>
                <w:color w:val="000000"/>
                <w:sz w:val="22"/>
                <w:szCs w:val="22"/>
              </w:rPr>
              <w:t xml:space="preserve">Agent must call a specific tool with specific parameters</w:t>
            </w:r>
          </w:p>
        </w:tc>
        <w:tc>
          <w:tcPr>
            <w:shd w:fill="F1F5F9" w:val="clear"/>
            <w:tcMar>
              <w:top w:type="dxa" w:w="60"/>
              <w:left w:type="dxa" w:w="120"/>
              <w:bottom w:type="dxa" w:w="60"/>
              <w:right w:type="dxa" w:w="120"/>
            </w:tcMar>
            <w:vAlign w:val="center"/>
          </w:tcPr>
          <w:p>
            <w:pPr>
              <w:spacing w:after="0"/>
            </w:pPr>
            <w:r>
              <w:rPr>
                <w:color w:val="000000"/>
                <w:sz w:val="22"/>
                <w:szCs w:val="22"/>
              </w:rPr>
              <w:t xml:space="preserve">1 tool_use case</w:t>
            </w:r>
          </w:p>
        </w:tc>
      </w:tr>
      <w:tr>
        <w:tc>
          <w:tcPr>
            <w:tcMar>
              <w:top w:type="dxa" w:w="60"/>
              <w:left w:type="dxa" w:w="120"/>
              <w:bottom w:type="dxa" w:w="60"/>
              <w:right w:type="dxa" w:w="120"/>
            </w:tcMar>
            <w:vAlign w:val="center"/>
          </w:tcPr>
          <w:p>
            <w:pPr>
              <w:spacing w:after="0"/>
            </w:pPr>
            <w:r>
              <w:rPr>
                <w:color w:val="000000"/>
                <w:sz w:val="22"/>
                <w:szCs w:val="22"/>
              </w:rPr>
              <w:t xml:space="preserve">non_testable</w:t>
            </w:r>
          </w:p>
        </w:tc>
        <w:tc>
          <w:tcPr>
            <w:tcMar>
              <w:top w:type="dxa" w:w="60"/>
              <w:left w:type="dxa" w:w="120"/>
              <w:bottom w:type="dxa" w:w="60"/>
              <w:right w:type="dxa" w:w="120"/>
            </w:tcMar>
            <w:vAlign w:val="center"/>
          </w:tcPr>
          <w:p>
            <w:pPr>
              <w:spacing w:after="0"/>
            </w:pPr>
            <w:r>
              <w:rPr>
                <w:color w:val="000000"/>
                <w:sz w:val="22"/>
                <w:szCs w:val="22"/>
              </w:rPr>
              <w:t xml:space="preserve">Too vague, subjective, or aspirational to test</w:t>
            </w:r>
          </w:p>
        </w:tc>
        <w:tc>
          <w:tcPr>
            <w:tcMar>
              <w:top w:type="dxa" w:w="60"/>
              <w:left w:type="dxa" w:w="120"/>
              <w:bottom w:type="dxa" w:w="60"/>
              <w:right w:type="dxa" w:w="120"/>
            </w:tcMar>
            <w:vAlign w:val="center"/>
          </w:tcPr>
          <w:p>
            <w:pPr>
              <w:spacing w:after="0"/>
            </w:pPr>
            <w:r>
              <w:rPr>
                <w:color w:val="000000"/>
                <w:sz w:val="22"/>
                <w:szCs w:val="22"/>
              </w:rPr>
              <w:t xml:space="preserve">No cases generated</w:t>
            </w:r>
          </w:p>
        </w:tc>
      </w:tr>
    </w:tbl>
    <w:p>
      <w:pPr>
        <w:spacing w:after="80"/>
      </w:pPr>
      <w:r>
        <w:t xml:space="preserve"/>
      </w:r>
    </w:p>
    <w:p>
      <w:pPr>
        <w:spacing w:after="160"/>
      </w:pPr>
      <w:r>
        <w:rPr>
          <w:color w:val="000000"/>
          <w:sz w:val="22"/>
          <w:szCs w:val="22"/>
        </w:rPr>
        <w:t xml:space="preserve">Each requirement also carries:</w:t>
      </w:r>
    </w:p>
    <w:p>
      <w:pPr>
        <w:pStyle w:val="ListParagraph"/>
        <w:numPr>
          <w:ilvl w:val="0"/>
          <w:numId w:val="1"/>
        </w:numPr>
        <w:spacing w:after="80"/>
      </w:pPr>
      <w:r>
        <w:rPr>
          <w:color w:val="000000"/>
          <w:sz w:val="22"/>
          <w:szCs w:val="22"/>
        </w:rPr>
        <w:t xml:space="preserve">ambiguityFlag — true when the requirement lacks measurable criteria</w:t>
      </w:r>
    </w:p>
    <w:p>
      <w:pPr>
        <w:pStyle w:val="ListParagraph"/>
        <w:numPr>
          <w:ilvl w:val="0"/>
          <w:numId w:val="1"/>
        </w:numPr>
        <w:spacing w:after="80"/>
      </w:pPr>
      <w:r>
        <w:rPr>
          <w:color w:val="000000"/>
          <w:sz w:val="22"/>
          <w:szCs w:val="22"/>
        </w:rPr>
        <w:t xml:space="preserve">suggestedRewrite — an AI-authored rewrite with measurable criteria, shown when ambiguityFlag is true</w:t>
      </w:r>
    </w:p>
    <w:p>
      <w:pPr>
        <w:pStyle w:val="ListParagraph"/>
        <w:numPr>
          <w:ilvl w:val="0"/>
          <w:numId w:val="1"/>
        </w:numPr>
        <w:spacing w:after="80"/>
      </w:pPr>
      <w:r>
        <w:rPr>
          <w:color w:val="000000"/>
          <w:sz w:val="22"/>
          <w:szCs w:val="22"/>
        </w:rPr>
        <w:t xml:space="preserve">sourceExcerpt — the verbatim excerpt from the spec that produced the requirement (max 150 chars)</w:t>
      </w:r>
    </w:p>
    <w:p>
      <w:pPr>
        <w:pStyle w:val="ListParagraph"/>
        <w:numPr>
          <w:ilvl w:val="0"/>
          <w:numId w:val="1"/>
        </w:numPr>
        <w:spacing w:after="80"/>
      </w:pPr>
      <w:r>
        <w:rPr>
          <w:color w:val="000000"/>
          <w:sz w:val="22"/>
          <w:szCs w:val="22"/>
        </w:rPr>
        <w:t xml:space="preserve">included — user-controlled toggle; defaults to true for all testable requirements</w:t>
      </w:r>
    </w:p>
    <w:p>
      <w:pPr>
        <w:pStyle w:val="Heading2"/>
        <w:spacing w:after="100" w:before="280"/>
      </w:pPr>
      <w:r>
        <w:rPr>
          <w:b/>
          <w:bCs/>
          <w:color w:val="2563EB"/>
          <w:sz w:val="26"/>
          <w:szCs w:val="26"/>
        </w:rPr>
        <w:t xml:space="preserve">4.2 Eval Case Generation</w:t>
      </w:r>
    </w:p>
    <w:p>
      <w:pPr>
        <w:spacing w:after="160"/>
      </w:pPr>
      <w:r>
        <w:rPr>
          <w:color w:val="000000"/>
          <w:sz w:val="22"/>
          <w:szCs w:val="22"/>
        </w:rPr>
        <w:t xml:space="preserve">The second LLM pass receives the filtered list of included requirements and generates eval cases in a structured JSON schema. Each case contains:</w:t>
      </w:r>
    </w:p>
    <w:p>
      <w:pPr>
        <w:pStyle w:val="ListParagraph"/>
        <w:numPr>
          <w:ilvl w:val="0"/>
          <w:numId w:val="1"/>
        </w:numPr>
        <w:spacing w:after="80"/>
      </w:pPr>
      <w:r>
        <w:rPr>
          <w:color w:val="000000"/>
          <w:sz w:val="22"/>
          <w:szCs w:val="22"/>
        </w:rPr>
        <w:t xml:space="preserve">id — globally unique within the suite (e.g. billing-agent-001)</w:t>
      </w:r>
    </w:p>
    <w:p>
      <w:pPr>
        <w:pStyle w:val="ListParagraph"/>
        <w:numPr>
          <w:ilvl w:val="0"/>
          <w:numId w:val="1"/>
        </w:numPr>
        <w:spacing w:after="80"/>
      </w:pPr>
      <w:r>
        <w:rPr>
          <w:color w:val="000000"/>
          <w:sz w:val="22"/>
          <w:szCs w:val="22"/>
        </w:rPr>
        <w:t xml:space="preserve">suite — slug derived from the spec title</w:t>
      </w:r>
    </w:p>
    <w:p>
      <w:pPr>
        <w:pStyle w:val="ListParagraph"/>
        <w:numPr>
          <w:ilvl w:val="0"/>
          <w:numId w:val="1"/>
        </w:numPr>
        <w:spacing w:after="80"/>
      </w:pPr>
      <w:r>
        <w:rPr>
          <w:color w:val="000000"/>
          <w:sz w:val="22"/>
          <w:szCs w:val="22"/>
        </w:rPr>
        <w:t xml:space="preserve">description — one-line summary of what the case verifies</w:t>
      </w:r>
    </w:p>
    <w:p>
      <w:pPr>
        <w:pStyle w:val="ListParagraph"/>
        <w:numPr>
          <w:ilvl w:val="0"/>
          <w:numId w:val="1"/>
        </w:numPr>
        <w:spacing w:after="80"/>
      </w:pPr>
      <w:r>
        <w:rPr>
          <w:color w:val="000000"/>
          <w:sz w:val="22"/>
          <w:szCs w:val="22"/>
        </w:rPr>
        <w:t xml:space="preserve">category — task_success | guardrail | format | tool_use</w:t>
      </w:r>
    </w:p>
    <w:p>
      <w:pPr>
        <w:pStyle w:val="ListParagraph"/>
        <w:numPr>
          <w:ilvl w:val="0"/>
          <w:numId w:val="1"/>
        </w:numPr>
        <w:spacing w:after="80"/>
      </w:pPr>
      <w:r>
        <w:rPr>
          <w:color w:val="000000"/>
          <w:sz w:val="22"/>
          <w:szCs w:val="22"/>
        </w:rPr>
        <w:t xml:space="preserve">input.messages — realistic user message(s) that exercise the requirement</w:t>
      </w:r>
    </w:p>
    <w:p>
      <w:pPr>
        <w:pStyle w:val="ListParagraph"/>
        <w:numPr>
          <w:ilvl w:val="0"/>
          <w:numId w:val="1"/>
        </w:numPr>
        <w:spacing w:after="80"/>
      </w:pPr>
      <w:r>
        <w:rPr>
          <w:color w:val="000000"/>
          <w:sz w:val="22"/>
          <w:szCs w:val="22"/>
        </w:rPr>
        <w:t xml:space="preserve">expected.behaviour — prose description of what a passing agent response looks like</w:t>
      </w:r>
    </w:p>
    <w:p>
      <w:pPr>
        <w:pStyle w:val="ListParagraph"/>
        <w:numPr>
          <w:ilvl w:val="0"/>
          <w:numId w:val="1"/>
        </w:numPr>
        <w:spacing w:after="80"/>
      </w:pPr>
      <w:r>
        <w:rPr>
          <w:color w:val="000000"/>
          <w:sz w:val="22"/>
          <w:szCs w:val="22"/>
        </w:rPr>
        <w:t xml:space="preserve">expected.graders — array of LLM judge rubrics with binary pass/fail criteria and a passThreshold of 0.7</w:t>
      </w:r>
    </w:p>
    <w:p>
      <w:pPr>
        <w:pStyle w:val="ListParagraph"/>
        <w:numPr>
          <w:ilvl w:val="0"/>
          <w:numId w:val="1"/>
        </w:numPr>
        <w:spacing w:after="80"/>
      </w:pPr>
      <w:r>
        <w:rPr>
          <w:color w:val="000000"/>
          <w:sz w:val="22"/>
          <w:szCs w:val="22"/>
        </w:rPr>
        <w:t xml:space="preserve">weight — floating-point case weight (default 1.0)</w:t>
      </w:r>
    </w:p>
    <w:p>
      <w:pPr>
        <w:pStyle w:val="ListParagraph"/>
        <w:numPr>
          <w:ilvl w:val="0"/>
          <w:numId w:val="1"/>
        </w:numPr>
        <w:spacing w:after="80"/>
      </w:pPr>
      <w:r>
        <w:rPr>
          <w:color w:val="000000"/>
          <w:sz w:val="22"/>
          <w:szCs w:val="22"/>
        </w:rPr>
        <w:t xml:space="preserve">tags — source requirement IDs and category labels</w:t>
      </w:r>
    </w:p>
    <w:p>
      <w:pPr>
        <w:pStyle w:val="ListParagraph"/>
        <w:numPr>
          <w:ilvl w:val="0"/>
          <w:numId w:val="1"/>
        </w:numPr>
        <w:spacing w:after="80"/>
      </w:pPr>
      <w:r>
        <w:rPr>
          <w:color w:val="000000"/>
          <w:sz w:val="22"/>
          <w:szCs w:val="22"/>
        </w:rPr>
        <w:t xml:space="preserve">sourceRequirement — the full text of the requirement this case tests</w:t>
      </w:r>
    </w:p>
    <w:p>
      <w:pPr>
        <w:pStyle w:val="Heading2"/>
        <w:spacing w:after="100" w:before="280"/>
      </w:pPr>
      <w:r>
        <w:rPr>
          <w:b/>
          <w:bCs/>
          <w:color w:val="2563EB"/>
          <w:sz w:val="26"/>
          <w:szCs w:val="26"/>
        </w:rPr>
        <w:t xml:space="preserve">4.3 Guardrail Case Guarantee</w:t>
      </w:r>
    </w:p>
    <w:p>
      <w:pPr>
        <w:spacing w:after="160"/>
      </w:pPr>
      <w:r>
        <w:rPr>
          <w:color w:val="000000"/>
          <w:sz w:val="22"/>
          <w:szCs w:val="22"/>
        </w:rPr>
        <w:t xml:space="preserve">Every constraint requirement automatically produces a companion guardrail case in addition to the standard capability case. The guardrail case uses an out-of-policy user message and a rubric that passes only if the agent refuses AND explains the policy — partial compliance fails. This pairing is enforced at the pipeline level and cannot be suppressed from the UI.</w:t>
      </w:r>
    </w:p>
    <w:p>
      <w:pPr>
        <w:pStyle w:val="Heading2"/>
        <w:spacing w:after="100" w:before="280"/>
      </w:pPr>
      <w:r>
        <w:rPr>
          <w:b/>
          <w:bCs/>
          <w:color w:val="2563EB"/>
          <w:sz w:val="26"/>
          <w:szCs w:val="26"/>
        </w:rPr>
        <w:t xml:space="preserve">4.4 Ambiguity Detection</w:t>
      </w:r>
    </w:p>
    <w:p>
      <w:pPr>
        <w:spacing w:after="160"/>
      </w:pPr>
      <w:r>
        <w:rPr>
          <w:color w:val="000000"/>
          <w:sz w:val="22"/>
          <w:szCs w:val="22"/>
        </w:rPr>
        <w:t xml:space="preserve">The extraction pipeline flags requirements that lack measurable outcomes (e.g. "Be helpful at all times"). Flagged requirements display an expandable amber banner in the Requirements view with a suggested rewrite that replaces vague language with specific, verifiable criteria.</w:t>
      </w:r>
    </w:p>
    <w:p>
      <w:pPr>
        <w:pStyle w:val="Heading2"/>
        <w:spacing w:after="100" w:before="280"/>
      </w:pPr>
      <w:r>
        <w:rPr>
          <w:b/>
          <w:bCs/>
          <w:color w:val="2563EB"/>
          <w:sz w:val="26"/>
          <w:szCs w:val="26"/>
        </w:rPr>
        <w:t xml:space="preserve">4.5 Coverage Dashboard</w:t>
      </w:r>
    </w:p>
    <w:p>
      <w:pPr>
        <w:spacing w:after="160"/>
      </w:pPr>
      <w:r>
        <w:rPr>
          <w:color w:val="000000"/>
          <w:sz w:val="22"/>
          <w:szCs w:val="22"/>
        </w:rPr>
        <w:t xml:space="preserve">The Cases view shows a live coverage bar at the top of the screen tracking approved case counts by category. The Export view shows the same breakdown in a 2×2 grid. The coverage endpoint (/api/sessions/:id/coverage) also returns a list of uncovered requirements — requirements that are included and testable but have no approved cases.</w:t>
      </w:r>
    </w:p>
    <w:p>
      <w:pPr>
        <w:pStyle w:val="Heading2"/>
        <w:spacing w:after="100" w:before="280"/>
      </w:pPr>
      <w:r>
        <w:rPr>
          <w:b/>
          <w:bCs/>
          <w:color w:val="2563EB"/>
          <w:sz w:val="26"/>
          <w:szCs w:val="26"/>
        </w:rPr>
        <w:t xml:space="preserve">4.6 Export</w:t>
      </w:r>
    </w:p>
    <w:p>
      <w:pPr>
        <w:spacing w:after="160"/>
      </w:pPr>
      <w:r>
        <w:rPr>
          <w:color w:val="000000"/>
          <w:sz w:val="22"/>
          <w:szCs w:val="22"/>
        </w:rPr>
        <w:t xml:space="preserve">The export endpoint validates every approved case against required schema fields before generating output. Missing fields (id, suite, description, category, input messages, expected behaviour, graders) cause a 422 response with a detailed error list. Valid exports are returned as:</w:t>
      </w:r>
    </w:p>
    <w:p>
      <w:pPr>
        <w:pStyle w:val="ListParagraph"/>
        <w:numPr>
          <w:ilvl w:val="0"/>
          <w:numId w:val="1"/>
        </w:numPr>
        <w:spacing w:after="80"/>
      </w:pPr>
      <w:r>
        <w:rPr>
          <w:color w:val="000000"/>
          <w:sz w:val="22"/>
          <w:szCs w:val="22"/>
        </w:rPr>
        <w:t xml:space="preserve">YAML — js-yaml dump formatted at 120-character line width; promptfoo-compatible</w:t>
      </w:r>
    </w:p>
    <w:p>
      <w:pPr>
        <w:pStyle w:val="ListParagraph"/>
        <w:numPr>
          <w:ilvl w:val="0"/>
          <w:numId w:val="1"/>
        </w:numPr>
        <w:spacing w:after="80"/>
      </w:pPr>
      <w:r>
        <w:rPr>
          <w:color w:val="000000"/>
          <w:sz w:val="22"/>
          <w:szCs w:val="22"/>
        </w:rPr>
        <w:t xml:space="preserve">JSON — JSON.stringify with 2-space indentation; suitable for custom eval runners</w:t>
      </w:r>
    </w:p>
    <w:p>
      <w:pPr>
        <w:spacing w:after="160"/>
      </w:pPr>
      <w:r>
        <w:rPr>
          <w:color w:val="000000"/>
          <w:sz w:val="22"/>
          <w:szCs w:val="22"/>
        </w:rPr>
        <w:t xml:space="preserve">Files are downloaded to the browser as eval-cases.yml or eval-cases.json.</w:t>
      </w:r>
    </w:p>
    <w:p>
      <w:pPr>
        <w:pStyle w:val="Heading1"/>
        <w:pBdr>
          <w:bottom w:val="single" w:color="E2E8F0" w:sz="4"/>
        </w:pBdr>
        <w:spacing w:after="160" w:before="400"/>
      </w:pPr>
      <w:r>
        <w:rPr>
          <w:b/>
          <w:bCs/>
          <w:color w:val="0F172A"/>
          <w:sz w:val="32"/>
          <w:szCs w:val="32"/>
        </w:rPr>
        <w:t xml:space="preserve">5. API Reference</w:t>
      </w:r>
    </w:p>
    <w:p>
      <w:pPr>
        <w:spacing w:after="160"/>
      </w:pPr>
      <w:r>
        <w:rPr>
          <w:color w:val="000000"/>
          <w:sz w:val="22"/>
          <w:szCs w:val="22"/>
        </w:rPr>
        <w:t xml:space="preserve">The backend exposes a REST API at /api. All endpoints consume and produce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80"/>
              <w:left w:type="dxa" w:w="120"/>
              <w:bottom w:type="dxa" w:w="80"/>
              <w:right w:type="dxa" w:w="120"/>
            </w:tcMar>
            <w:vAlign w:val="center"/>
          </w:tcPr>
          <w:p>
            <w:r>
              <w:rPr>
                <w:b/>
                <w:bCs/>
                <w:color w:val="FFFFFF"/>
                <w:sz w:val="20"/>
                <w:szCs w:val="20"/>
              </w:rPr>
              <w:t xml:space="preserve">Method</w:t>
            </w:r>
          </w:p>
        </w:tc>
        <w:tc>
          <w:tcPr>
            <w:shd w:fill="0F172A" w:val="clear"/>
            <w:tcMar>
              <w:top w:type="dxa" w:w="80"/>
              <w:left w:type="dxa" w:w="120"/>
              <w:bottom w:type="dxa" w:w="80"/>
              <w:right w:type="dxa" w:w="120"/>
            </w:tcMar>
            <w:vAlign w:val="center"/>
          </w:tcPr>
          <w:p>
            <w:r>
              <w:rPr>
                <w:b/>
                <w:bCs/>
                <w:color w:val="FFFFFF"/>
                <w:sz w:val="20"/>
                <w:szCs w:val="20"/>
              </w:rPr>
              <w:t xml:space="preserve">Endpoint</w:t>
            </w:r>
          </w:p>
        </w:tc>
        <w:tc>
          <w:tcPr>
            <w:shd w:fill="0F172A" w:val="clear"/>
            <w:tcMar>
              <w:top w:type="dxa" w:w="80"/>
              <w:left w:type="dxa" w:w="120"/>
              <w:bottom w:type="dxa" w:w="80"/>
              <w:right w:type="dxa" w:w="120"/>
            </w:tcMar>
            <w:vAlign w:val="center"/>
          </w:tcPr>
          <w:p>
            <w:r>
              <w:rPr>
                <w:b/>
                <w:bCs/>
                <w:color w:val="FFFFFF"/>
                <w:sz w:val="20"/>
                <w:szCs w:val="20"/>
              </w:rPr>
              <w:t xml:space="preserve">Description</w:t>
            </w:r>
          </w:p>
        </w:tc>
      </w:tr>
      <w:tr>
        <w:tc>
          <w:tcPr>
            <w:tcMar>
              <w:top w:type="dxa" w:w="60"/>
              <w:left w:type="dxa" w:w="120"/>
              <w:bottom w:type="dxa" w:w="60"/>
              <w:right w:type="dxa" w:w="120"/>
            </w:tcMar>
            <w:vAlign w:val="center"/>
          </w:tcPr>
          <w:p>
            <w:pPr>
              <w:spacing w:after="0"/>
            </w:pPr>
            <w:r>
              <w:rPr>
                <w:color w:val="000000"/>
                <w:sz w:val="22"/>
                <w:szCs w:val="22"/>
              </w:rPr>
              <w:t xml:space="preserve">POST</w:t>
            </w:r>
          </w:p>
        </w:tc>
        <w:tc>
          <w:tcPr>
            <w:tcMar>
              <w:top w:type="dxa" w:w="60"/>
              <w:left w:type="dxa" w:w="120"/>
              <w:bottom w:type="dxa" w:w="60"/>
              <w:right w:type="dxa" w:w="120"/>
            </w:tcMar>
            <w:vAlign w:val="center"/>
          </w:tcPr>
          <w:p>
            <w:pPr>
              <w:spacing w:after="0"/>
            </w:pPr>
            <w:r>
              <w:rPr>
                <w:color w:val="000000"/>
                <w:sz w:val="22"/>
                <w:szCs w:val="22"/>
              </w:rPr>
              <w:t xml:space="preserve">/api/sessions</w:t>
            </w:r>
          </w:p>
        </w:tc>
        <w:tc>
          <w:tcPr>
            <w:tcMar>
              <w:top w:type="dxa" w:w="60"/>
              <w:left w:type="dxa" w:w="120"/>
              <w:bottom w:type="dxa" w:w="60"/>
              <w:right w:type="dxa" w:w="120"/>
            </w:tcMar>
            <w:vAlign w:val="center"/>
          </w:tcPr>
          <w:p>
            <w:pPr>
              <w:spacing w:after="0"/>
            </w:pPr>
            <w:r>
              <w:rPr>
                <w:color w:val="000000"/>
                <w:sz w:val="22"/>
                <w:szCs w:val="22"/>
              </w:rPr>
              <w:t xml:space="preserve">Create a new session with specText and optional specTitle</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GET</w:t>
            </w:r>
          </w:p>
        </w:tc>
        <w:tc>
          <w:tcPr>
            <w:shd w:fill="F1F5F9" w:val="clear"/>
            <w:tcMar>
              <w:top w:type="dxa" w:w="60"/>
              <w:left w:type="dxa" w:w="120"/>
              <w:bottom w:type="dxa" w:w="60"/>
              <w:right w:type="dxa" w:w="120"/>
            </w:tcMar>
            <w:vAlign w:val="center"/>
          </w:tcPr>
          <w:p>
            <w:pPr>
              <w:spacing w:after="0"/>
            </w:pPr>
            <w:r>
              <w:rPr>
                <w:color w:val="000000"/>
                <w:sz w:val="22"/>
                <w:szCs w:val="22"/>
              </w:rPr>
              <w:t xml:space="preserve">/api/sessions/:id</w:t>
            </w:r>
          </w:p>
        </w:tc>
        <w:tc>
          <w:tcPr>
            <w:shd w:fill="F1F5F9" w:val="clear"/>
            <w:tcMar>
              <w:top w:type="dxa" w:w="60"/>
              <w:left w:type="dxa" w:w="120"/>
              <w:bottom w:type="dxa" w:w="60"/>
              <w:right w:type="dxa" w:w="120"/>
            </w:tcMar>
            <w:vAlign w:val="center"/>
          </w:tcPr>
          <w:p>
            <w:pPr>
              <w:spacing w:after="0"/>
            </w:pPr>
            <w:r>
              <w:rPr>
                <w:color w:val="000000"/>
                <w:sz w:val="22"/>
                <w:szCs w:val="22"/>
              </w:rPr>
              <w:t xml:space="preserve">Fetch full session state (spec, requirements, cases)</w:t>
            </w:r>
          </w:p>
        </w:tc>
      </w:tr>
      <w:tr>
        <w:tc>
          <w:tcPr>
            <w:tcMar>
              <w:top w:type="dxa" w:w="60"/>
              <w:left w:type="dxa" w:w="120"/>
              <w:bottom w:type="dxa" w:w="60"/>
              <w:right w:type="dxa" w:w="120"/>
            </w:tcMar>
            <w:vAlign w:val="center"/>
          </w:tcPr>
          <w:p>
            <w:pPr>
              <w:spacing w:after="0"/>
            </w:pPr>
            <w:r>
              <w:rPr>
                <w:color w:val="000000"/>
                <w:sz w:val="22"/>
                <w:szCs w:val="22"/>
              </w:rPr>
              <w:t xml:space="preserve">POST</w:t>
            </w:r>
          </w:p>
        </w:tc>
        <w:tc>
          <w:tcPr>
            <w:tcMar>
              <w:top w:type="dxa" w:w="60"/>
              <w:left w:type="dxa" w:w="120"/>
              <w:bottom w:type="dxa" w:w="60"/>
              <w:right w:type="dxa" w:w="120"/>
            </w:tcMar>
            <w:vAlign w:val="center"/>
          </w:tcPr>
          <w:p>
            <w:pPr>
              <w:spacing w:after="0"/>
            </w:pPr>
            <w:r>
              <w:rPr>
                <w:color w:val="000000"/>
                <w:sz w:val="22"/>
                <w:szCs w:val="22"/>
              </w:rPr>
              <w:t xml:space="preserve">/api/sessions/:id/extract</w:t>
            </w:r>
          </w:p>
        </w:tc>
        <w:tc>
          <w:tcPr>
            <w:tcMar>
              <w:top w:type="dxa" w:w="60"/>
              <w:left w:type="dxa" w:w="120"/>
              <w:bottom w:type="dxa" w:w="60"/>
              <w:right w:type="dxa" w:w="120"/>
            </w:tcMar>
            <w:vAlign w:val="center"/>
          </w:tcPr>
          <w:p>
            <w:pPr>
              <w:spacing w:after="0"/>
            </w:pPr>
            <w:r>
              <w:rPr>
                <w:color w:val="000000"/>
                <w:sz w:val="22"/>
                <w:szCs w:val="22"/>
              </w:rPr>
              <w:t xml:space="preserve">Run LLM requirement extraction on the session spec</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POST</w:t>
            </w:r>
          </w:p>
        </w:tc>
        <w:tc>
          <w:tcPr>
            <w:shd w:fill="F1F5F9" w:val="clear"/>
            <w:tcMar>
              <w:top w:type="dxa" w:w="60"/>
              <w:left w:type="dxa" w:w="120"/>
              <w:bottom w:type="dxa" w:w="60"/>
              <w:right w:type="dxa" w:w="120"/>
            </w:tcMar>
            <w:vAlign w:val="center"/>
          </w:tcPr>
          <w:p>
            <w:pPr>
              <w:spacing w:after="0"/>
            </w:pPr>
            <w:r>
              <w:rPr>
                <w:color w:val="000000"/>
                <w:sz w:val="22"/>
                <w:szCs w:val="22"/>
              </w:rPr>
              <w:t xml:space="preserve">/api/sessions/:id/generate</w:t>
            </w:r>
          </w:p>
        </w:tc>
        <w:tc>
          <w:tcPr>
            <w:shd w:fill="F1F5F9" w:val="clear"/>
            <w:tcMar>
              <w:top w:type="dxa" w:w="60"/>
              <w:left w:type="dxa" w:w="120"/>
              <w:bottom w:type="dxa" w:w="60"/>
              <w:right w:type="dxa" w:w="120"/>
            </w:tcMar>
            <w:vAlign w:val="center"/>
          </w:tcPr>
          <w:p>
            <w:pPr>
              <w:spacing w:after="0"/>
            </w:pPr>
            <w:r>
              <w:rPr>
                <w:color w:val="000000"/>
                <w:sz w:val="22"/>
                <w:szCs w:val="22"/>
              </w:rPr>
              <w:t xml:space="preserve">Generate eval cases for specified requirement IDs</w:t>
            </w:r>
          </w:p>
        </w:tc>
      </w:tr>
      <w:tr>
        <w:tc>
          <w:tcPr>
            <w:tcMar>
              <w:top w:type="dxa" w:w="60"/>
              <w:left w:type="dxa" w:w="120"/>
              <w:bottom w:type="dxa" w:w="60"/>
              <w:right w:type="dxa" w:w="120"/>
            </w:tcMar>
            <w:vAlign w:val="center"/>
          </w:tcPr>
          <w:p>
            <w:pPr>
              <w:spacing w:after="0"/>
            </w:pPr>
            <w:r>
              <w:rPr>
                <w:color w:val="000000"/>
                <w:sz w:val="22"/>
                <w:szCs w:val="22"/>
              </w:rPr>
              <w:t xml:space="preserve">PATCH</w:t>
            </w:r>
          </w:p>
        </w:tc>
        <w:tc>
          <w:tcPr>
            <w:tcMar>
              <w:top w:type="dxa" w:w="60"/>
              <w:left w:type="dxa" w:w="120"/>
              <w:bottom w:type="dxa" w:w="60"/>
              <w:right w:type="dxa" w:w="120"/>
            </w:tcMar>
            <w:vAlign w:val="center"/>
          </w:tcPr>
          <w:p>
            <w:pPr>
              <w:spacing w:after="0"/>
            </w:pPr>
            <w:r>
              <w:rPr>
                <w:color w:val="000000"/>
                <w:sz w:val="22"/>
                <w:szCs w:val="22"/>
              </w:rPr>
              <w:t xml:space="preserve">/api/sessions/:id/requirements/:reqId</w:t>
            </w:r>
          </w:p>
        </w:tc>
        <w:tc>
          <w:tcPr>
            <w:tcMar>
              <w:top w:type="dxa" w:w="60"/>
              <w:left w:type="dxa" w:w="120"/>
              <w:bottom w:type="dxa" w:w="60"/>
              <w:right w:type="dxa" w:w="120"/>
            </w:tcMar>
            <w:vAlign w:val="center"/>
          </w:tcPr>
          <w:p>
            <w:pPr>
              <w:spacing w:after="0"/>
            </w:pPr>
            <w:r>
              <w:rPr>
                <w:color w:val="000000"/>
                <w:sz w:val="22"/>
                <w:szCs w:val="22"/>
              </w:rPr>
              <w:t xml:space="preserve">Toggle included or update text for a requirement</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POST</w:t>
            </w:r>
          </w:p>
        </w:tc>
        <w:tc>
          <w:tcPr>
            <w:shd w:fill="F1F5F9" w:val="clear"/>
            <w:tcMar>
              <w:top w:type="dxa" w:w="60"/>
              <w:left w:type="dxa" w:w="120"/>
              <w:bottom w:type="dxa" w:w="60"/>
              <w:right w:type="dxa" w:w="120"/>
            </w:tcMar>
            <w:vAlign w:val="center"/>
          </w:tcPr>
          <w:p>
            <w:pPr>
              <w:spacing w:after="0"/>
            </w:pPr>
            <w:r>
              <w:rPr>
                <w:color w:val="000000"/>
                <w:sz w:val="22"/>
                <w:szCs w:val="22"/>
              </w:rPr>
              <w:t xml:space="preserve">/api/sessions/:id/requirements/:reqId/regenerate</w:t>
            </w:r>
          </w:p>
        </w:tc>
        <w:tc>
          <w:tcPr>
            <w:shd w:fill="F1F5F9" w:val="clear"/>
            <w:tcMar>
              <w:top w:type="dxa" w:w="60"/>
              <w:left w:type="dxa" w:w="120"/>
              <w:bottom w:type="dxa" w:w="60"/>
              <w:right w:type="dxa" w:w="120"/>
            </w:tcMar>
            <w:vAlign w:val="center"/>
          </w:tcPr>
          <w:p>
            <w:pPr>
              <w:spacing w:after="0"/>
            </w:pPr>
            <w:r>
              <w:rPr>
                <w:color w:val="000000"/>
                <w:sz w:val="22"/>
                <w:szCs w:val="22"/>
              </w:rPr>
              <w:t xml:space="preserve">Re-generate cases for a single requirement</w:t>
            </w:r>
          </w:p>
        </w:tc>
      </w:tr>
      <w:tr>
        <w:tc>
          <w:tcPr>
            <w:tcMar>
              <w:top w:type="dxa" w:w="60"/>
              <w:left w:type="dxa" w:w="120"/>
              <w:bottom w:type="dxa" w:w="60"/>
              <w:right w:type="dxa" w:w="120"/>
            </w:tcMar>
            <w:vAlign w:val="center"/>
          </w:tcPr>
          <w:p>
            <w:pPr>
              <w:spacing w:after="0"/>
            </w:pPr>
            <w:r>
              <w:rPr>
                <w:color w:val="000000"/>
                <w:sz w:val="22"/>
                <w:szCs w:val="22"/>
              </w:rPr>
              <w:t xml:space="preserve">PATCH</w:t>
            </w:r>
          </w:p>
        </w:tc>
        <w:tc>
          <w:tcPr>
            <w:tcMar>
              <w:top w:type="dxa" w:w="60"/>
              <w:left w:type="dxa" w:w="120"/>
              <w:bottom w:type="dxa" w:w="60"/>
              <w:right w:type="dxa" w:w="120"/>
            </w:tcMar>
            <w:vAlign w:val="center"/>
          </w:tcPr>
          <w:p>
            <w:pPr>
              <w:spacing w:after="0"/>
            </w:pPr>
            <w:r>
              <w:rPr>
                <w:color w:val="000000"/>
                <w:sz w:val="22"/>
                <w:szCs w:val="22"/>
              </w:rPr>
              <w:t xml:space="preserve">/api/sessions/:id/cases/:caseId</w:t>
            </w:r>
          </w:p>
        </w:tc>
        <w:tc>
          <w:tcPr>
            <w:tcMar>
              <w:top w:type="dxa" w:w="60"/>
              <w:left w:type="dxa" w:w="120"/>
              <w:bottom w:type="dxa" w:w="60"/>
              <w:right w:type="dxa" w:w="120"/>
            </w:tcMar>
            <w:vAlign w:val="center"/>
          </w:tcPr>
          <w:p>
            <w:pPr>
              <w:spacing w:after="0"/>
            </w:pPr>
            <w:r>
              <w:rPr>
                <w:color w:val="000000"/>
                <w:sz w:val="22"/>
                <w:szCs w:val="22"/>
              </w:rPr>
              <w:t xml:space="preserve">Update case status (draft / approved / dropped) or case body</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POST</w:t>
            </w:r>
          </w:p>
        </w:tc>
        <w:tc>
          <w:tcPr>
            <w:shd w:fill="F1F5F9" w:val="clear"/>
            <w:tcMar>
              <w:top w:type="dxa" w:w="60"/>
              <w:left w:type="dxa" w:w="120"/>
              <w:bottom w:type="dxa" w:w="60"/>
              <w:right w:type="dxa" w:w="120"/>
            </w:tcMar>
            <w:vAlign w:val="center"/>
          </w:tcPr>
          <w:p>
            <w:pPr>
              <w:spacing w:after="0"/>
            </w:pPr>
            <w:r>
              <w:rPr>
                <w:color w:val="000000"/>
                <w:sz w:val="22"/>
                <w:szCs w:val="22"/>
              </w:rPr>
              <w:t xml:space="preserve">/api/sessions/:id/export</w:t>
            </w:r>
          </w:p>
        </w:tc>
        <w:tc>
          <w:tcPr>
            <w:shd w:fill="F1F5F9" w:val="clear"/>
            <w:tcMar>
              <w:top w:type="dxa" w:w="60"/>
              <w:left w:type="dxa" w:w="120"/>
              <w:bottom w:type="dxa" w:w="60"/>
              <w:right w:type="dxa" w:w="120"/>
            </w:tcMar>
            <w:vAlign w:val="center"/>
          </w:tcPr>
          <w:p>
            <w:pPr>
              <w:spacing w:after="0"/>
            </w:pPr>
            <w:r>
              <w:rPr>
                <w:color w:val="000000"/>
                <w:sz w:val="22"/>
                <w:szCs w:val="22"/>
              </w:rPr>
              <w:t xml:space="preserve">Validate and export approved cases as YAML + JSON</w:t>
            </w:r>
          </w:p>
        </w:tc>
      </w:tr>
      <w:tr>
        <w:tc>
          <w:tcPr>
            <w:tcMar>
              <w:top w:type="dxa" w:w="60"/>
              <w:left w:type="dxa" w:w="120"/>
              <w:bottom w:type="dxa" w:w="60"/>
              <w:right w:type="dxa" w:w="120"/>
            </w:tcMar>
            <w:vAlign w:val="center"/>
          </w:tcPr>
          <w:p>
            <w:pPr>
              <w:spacing w:after="0"/>
            </w:pPr>
            <w:r>
              <w:rPr>
                <w:color w:val="000000"/>
                <w:sz w:val="22"/>
                <w:szCs w:val="22"/>
              </w:rPr>
              <w:t xml:space="preserve">GET</w:t>
            </w:r>
          </w:p>
        </w:tc>
        <w:tc>
          <w:tcPr>
            <w:tcMar>
              <w:top w:type="dxa" w:w="60"/>
              <w:left w:type="dxa" w:w="120"/>
              <w:bottom w:type="dxa" w:w="60"/>
              <w:right w:type="dxa" w:w="120"/>
            </w:tcMar>
            <w:vAlign w:val="center"/>
          </w:tcPr>
          <w:p>
            <w:pPr>
              <w:spacing w:after="0"/>
            </w:pPr>
            <w:r>
              <w:rPr>
                <w:color w:val="000000"/>
                <w:sz w:val="22"/>
                <w:szCs w:val="22"/>
              </w:rPr>
              <w:t xml:space="preserve">/api/sessions/:id/coverage</w:t>
            </w:r>
          </w:p>
        </w:tc>
        <w:tc>
          <w:tcPr>
            <w:tcMar>
              <w:top w:type="dxa" w:w="60"/>
              <w:left w:type="dxa" w:w="120"/>
              <w:bottom w:type="dxa" w:w="60"/>
              <w:right w:type="dxa" w:w="120"/>
            </w:tcMar>
            <w:vAlign w:val="center"/>
          </w:tcPr>
          <w:p>
            <w:pPr>
              <w:spacing w:after="0"/>
            </w:pPr>
            <w:r>
              <w:rPr>
                <w:color w:val="000000"/>
                <w:sz w:val="22"/>
                <w:szCs w:val="22"/>
              </w:rPr>
              <w:t xml:space="preserve">Return coverage stats and uncovered requirement list</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GET</w:t>
            </w:r>
          </w:p>
        </w:tc>
        <w:tc>
          <w:tcPr>
            <w:shd w:fill="F1F5F9" w:val="clear"/>
            <w:tcMar>
              <w:top w:type="dxa" w:w="60"/>
              <w:left w:type="dxa" w:w="120"/>
              <w:bottom w:type="dxa" w:w="60"/>
              <w:right w:type="dxa" w:w="120"/>
            </w:tcMar>
            <w:vAlign w:val="center"/>
          </w:tcPr>
          <w:p>
            <w:pPr>
              <w:spacing w:after="0"/>
            </w:pPr>
            <w:r>
              <w:rPr>
                <w:color w:val="000000"/>
                <w:sz w:val="22"/>
                <w:szCs w:val="22"/>
              </w:rPr>
              <w:t xml:space="preserve">/api/healthz</w:t>
            </w:r>
          </w:p>
        </w:tc>
        <w:tc>
          <w:tcPr>
            <w:shd w:fill="F1F5F9" w:val="clear"/>
            <w:tcMar>
              <w:top w:type="dxa" w:w="60"/>
              <w:left w:type="dxa" w:w="120"/>
              <w:bottom w:type="dxa" w:w="60"/>
              <w:right w:type="dxa" w:w="120"/>
            </w:tcMar>
            <w:vAlign w:val="center"/>
          </w:tcPr>
          <w:p>
            <w:pPr>
              <w:spacing w:after="0"/>
            </w:pPr>
            <w:r>
              <w:rPr>
                <w:color w:val="000000"/>
                <w:sz w:val="22"/>
                <w:szCs w:val="22"/>
              </w:rPr>
              <w:t xml:space="preserve">Health check — returns { status: "ok" }</w:t>
            </w:r>
          </w:p>
        </w:tc>
      </w:tr>
    </w:tbl>
    <w:p>
      <w:pPr>
        <w:spacing w:after="80"/>
      </w:pPr>
      <w:r>
        <w:t xml:space="preserve"/>
      </w:r>
    </w:p>
    <w:p>
      <w:pPr>
        <w:pStyle w:val="Heading2"/>
        <w:spacing w:after="100" w:before="280"/>
      </w:pPr>
      <w:r>
        <w:rPr>
          <w:b/>
          <w:bCs/>
          <w:color w:val="2563EB"/>
          <w:sz w:val="26"/>
          <w:szCs w:val="26"/>
        </w:rPr>
        <w:t xml:space="preserve">5.1 Rate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80"/>
              <w:left w:type="dxa" w:w="120"/>
              <w:bottom w:type="dxa" w:w="80"/>
              <w:right w:type="dxa" w:w="120"/>
            </w:tcMar>
            <w:vAlign w:val="center"/>
          </w:tcPr>
          <w:p>
            <w:r>
              <w:rPr>
                <w:b/>
                <w:bCs/>
                <w:color w:val="FFFFFF"/>
                <w:sz w:val="20"/>
                <w:szCs w:val="20"/>
              </w:rPr>
              <w:t xml:space="preserve">Scope</w:t>
            </w:r>
          </w:p>
        </w:tc>
        <w:tc>
          <w:tcPr>
            <w:shd w:fill="0F172A" w:val="clear"/>
            <w:tcMar>
              <w:top w:type="dxa" w:w="80"/>
              <w:left w:type="dxa" w:w="120"/>
              <w:bottom w:type="dxa" w:w="80"/>
              <w:right w:type="dxa" w:w="120"/>
            </w:tcMar>
            <w:vAlign w:val="center"/>
          </w:tcPr>
          <w:p>
            <w:r>
              <w:rPr>
                <w:b/>
                <w:bCs/>
                <w:color w:val="FFFFFF"/>
                <w:sz w:val="20"/>
                <w:szCs w:val="20"/>
              </w:rPr>
              <w:t xml:space="preserve">Limit</w:t>
            </w:r>
          </w:p>
        </w:tc>
        <w:tc>
          <w:tcPr>
            <w:shd w:fill="0F172A" w:val="clear"/>
            <w:tcMar>
              <w:top w:type="dxa" w:w="80"/>
              <w:left w:type="dxa" w:w="120"/>
              <w:bottom w:type="dxa" w:w="80"/>
              <w:right w:type="dxa" w:w="120"/>
            </w:tcMar>
            <w:vAlign w:val="center"/>
          </w:tcPr>
          <w:p>
            <w:r>
              <w:rPr>
                <w:b/>
                <w:bCs/>
                <w:color w:val="FFFFFF"/>
                <w:sz w:val="20"/>
                <w:szCs w:val="20"/>
              </w:rPr>
              <w:t xml:space="preserve">Window</w:t>
            </w:r>
          </w:p>
        </w:tc>
      </w:tr>
      <w:tr>
        <w:tc>
          <w:tcPr>
            <w:tcMar>
              <w:top w:type="dxa" w:w="60"/>
              <w:left w:type="dxa" w:w="120"/>
              <w:bottom w:type="dxa" w:w="60"/>
              <w:right w:type="dxa" w:w="120"/>
            </w:tcMar>
            <w:vAlign w:val="center"/>
          </w:tcPr>
          <w:p>
            <w:pPr>
              <w:spacing w:after="0"/>
            </w:pPr>
            <w:r>
              <w:rPr>
                <w:color w:val="000000"/>
                <w:sz w:val="22"/>
                <w:szCs w:val="22"/>
              </w:rPr>
              <w:t xml:space="preserve">Global</w:t>
            </w:r>
          </w:p>
        </w:tc>
        <w:tc>
          <w:tcPr>
            <w:tcMar>
              <w:top w:type="dxa" w:w="60"/>
              <w:left w:type="dxa" w:w="120"/>
              <w:bottom w:type="dxa" w:w="60"/>
              <w:right w:type="dxa" w:w="120"/>
            </w:tcMar>
            <w:vAlign w:val="center"/>
          </w:tcPr>
          <w:p>
            <w:pPr>
              <w:spacing w:after="0"/>
            </w:pPr>
            <w:r>
              <w:rPr>
                <w:color w:val="000000"/>
                <w:sz w:val="22"/>
                <w:szCs w:val="22"/>
              </w:rPr>
              <w:t xml:space="preserve">120 requests</w:t>
            </w:r>
          </w:p>
        </w:tc>
        <w:tc>
          <w:tcPr>
            <w:tcMar>
              <w:top w:type="dxa" w:w="60"/>
              <w:left w:type="dxa" w:w="120"/>
              <w:bottom w:type="dxa" w:w="60"/>
              <w:right w:type="dxa" w:w="120"/>
            </w:tcMar>
            <w:vAlign w:val="center"/>
          </w:tcPr>
          <w:p>
            <w:pPr>
              <w:spacing w:after="0"/>
            </w:pPr>
            <w:r>
              <w:rPr>
                <w:color w:val="000000"/>
                <w:sz w:val="22"/>
                <w:szCs w:val="22"/>
              </w:rPr>
              <w:t xml:space="preserve">1 minute</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LLM endpoints (/extract, /generate, /regenerate)</w:t>
            </w:r>
          </w:p>
        </w:tc>
        <w:tc>
          <w:tcPr>
            <w:shd w:fill="F1F5F9" w:val="clear"/>
            <w:tcMar>
              <w:top w:type="dxa" w:w="60"/>
              <w:left w:type="dxa" w:w="120"/>
              <w:bottom w:type="dxa" w:w="60"/>
              <w:right w:type="dxa" w:w="120"/>
            </w:tcMar>
            <w:vAlign w:val="center"/>
          </w:tcPr>
          <w:p>
            <w:pPr>
              <w:spacing w:after="0"/>
            </w:pPr>
            <w:r>
              <w:rPr>
                <w:color w:val="000000"/>
                <w:sz w:val="22"/>
                <w:szCs w:val="22"/>
              </w:rPr>
              <w:t xml:space="preserve">10 requests</w:t>
            </w:r>
          </w:p>
        </w:tc>
        <w:tc>
          <w:tcPr>
            <w:shd w:fill="F1F5F9" w:val="clear"/>
            <w:tcMar>
              <w:top w:type="dxa" w:w="60"/>
              <w:left w:type="dxa" w:w="120"/>
              <w:bottom w:type="dxa" w:w="60"/>
              <w:right w:type="dxa" w:w="120"/>
            </w:tcMar>
            <w:vAlign w:val="center"/>
          </w:tcPr>
          <w:p>
            <w:pPr>
              <w:spacing w:after="0"/>
            </w:pPr>
            <w:r>
              <w:rPr>
                <w:color w:val="000000"/>
                <w:sz w:val="22"/>
                <w:szCs w:val="22"/>
              </w:rPr>
              <w:t xml:space="preserve">1 minute</w:t>
            </w:r>
          </w:p>
        </w:tc>
      </w:tr>
      <w:tr>
        <w:tc>
          <w:tcPr>
            <w:tcMar>
              <w:top w:type="dxa" w:w="60"/>
              <w:left w:type="dxa" w:w="120"/>
              <w:bottom w:type="dxa" w:w="60"/>
              <w:right w:type="dxa" w:w="120"/>
            </w:tcMar>
            <w:vAlign w:val="center"/>
          </w:tcPr>
          <w:p>
            <w:pPr>
              <w:spacing w:after="0"/>
            </w:pPr>
            <w:r>
              <w:rPr>
                <w:color w:val="000000"/>
                <w:sz w:val="22"/>
                <w:szCs w:val="22"/>
              </w:rPr>
              <w:t xml:space="preserve">Session creation (POST /sessions)</w:t>
            </w:r>
          </w:p>
        </w:tc>
        <w:tc>
          <w:tcPr>
            <w:tcMar>
              <w:top w:type="dxa" w:w="60"/>
              <w:left w:type="dxa" w:w="120"/>
              <w:bottom w:type="dxa" w:w="60"/>
              <w:right w:type="dxa" w:w="120"/>
            </w:tcMar>
            <w:vAlign w:val="center"/>
          </w:tcPr>
          <w:p>
            <w:pPr>
              <w:spacing w:after="0"/>
            </w:pPr>
            <w:r>
              <w:rPr>
                <w:color w:val="000000"/>
                <w:sz w:val="22"/>
                <w:szCs w:val="22"/>
              </w:rPr>
              <w:t xml:space="preserve">20 requests</w:t>
            </w:r>
          </w:p>
        </w:tc>
        <w:tc>
          <w:tcPr>
            <w:tcMar>
              <w:top w:type="dxa" w:w="60"/>
              <w:left w:type="dxa" w:w="120"/>
              <w:bottom w:type="dxa" w:w="60"/>
              <w:right w:type="dxa" w:w="120"/>
            </w:tcMar>
            <w:vAlign w:val="center"/>
          </w:tcPr>
          <w:p>
            <w:pPr>
              <w:spacing w:after="0"/>
            </w:pPr>
            <w:r>
              <w:rPr>
                <w:color w:val="000000"/>
                <w:sz w:val="22"/>
                <w:szCs w:val="22"/>
              </w:rPr>
              <w:t xml:space="preserve">1 minute</w:t>
            </w:r>
          </w:p>
        </w:tc>
      </w:tr>
    </w:tbl>
    <w:p>
      <w:pPr>
        <w:spacing w:after="80"/>
      </w:pPr>
      <w:r>
        <w:t xml:space="preserve"/>
      </w:r>
    </w:p>
    <w:p>
      <w:pPr>
        <w:pStyle w:val="Heading2"/>
        <w:spacing w:after="100" w:before="280"/>
      </w:pPr>
      <w:r>
        <w:rPr>
          <w:b/>
          <w:bCs/>
          <w:color w:val="2563EB"/>
          <w:sz w:val="26"/>
          <w:szCs w:val="26"/>
        </w:rPr>
        <w:t xml:space="preserve">5.2 Session Lifecycle</w:t>
      </w:r>
    </w:p>
    <w:p>
      <w:pPr>
        <w:spacing w:after="160"/>
      </w:pPr>
      <w:r>
        <w:rPr>
          <w:color w:val="000000"/>
          <w:sz w:val="22"/>
          <w:szCs w:val="22"/>
        </w:rPr>
        <w:t xml:space="preserve">Sessions are stored in server process memory with a 24-hour TTL. A background eviction sweep removes expired sessions. Session IDs are randomly generated UUIDs (crypto.randomUUID()). Accessing a session after expiry returns 404.</w:t>
      </w:r>
    </w:p>
    <w:p>
      <w:pPr>
        <w:pBdr>
          <w:left w:val="single" w:color="2563EB" w:sz="12"/>
        </w:pBdr>
        <w:spacing w:after="120"/>
        <w:ind w:left="431"/>
      </w:pPr>
      <w:r>
        <w:rPr>
          <w:color w:val="64748B"/>
          <w:sz w:val="22"/>
          <w:szCs w:val="22"/>
        </w:rPr>
        <w:t xml:space="preserve">Because sessions live in process memory, they are not shared across server instances. The recommended deployment target is Reserved VM (always-on, single instance).</w:t>
      </w:r>
    </w:p>
    <w:p>
      <w:pPr>
        <w:pStyle w:val="Heading1"/>
        <w:pBdr>
          <w:bottom w:val="single" w:color="E2E8F0" w:sz="4"/>
        </w:pBdr>
        <w:spacing w:after="160" w:before="400"/>
      </w:pPr>
      <w:r>
        <w:rPr>
          <w:b/>
          <w:bCs/>
          <w:color w:val="0F172A"/>
          <w:sz w:val="32"/>
          <w:szCs w:val="32"/>
        </w:rPr>
        <w:t xml:space="preserve">6. Technical Architecture</w:t>
      </w:r>
    </w:p>
    <w:p>
      <w:pPr>
        <w:pStyle w:val="Heading2"/>
        <w:spacing w:after="100" w:before="280"/>
      </w:pPr>
      <w:r>
        <w:rPr>
          <w:b/>
          <w:bCs/>
          <w:color w:val="2563EB"/>
          <w:sz w:val="26"/>
          <w:szCs w:val="26"/>
        </w:rPr>
        <w:t xml:space="preserve">6.1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172A" w:val="clear"/>
            <w:tcMar>
              <w:top w:type="dxa" w:w="80"/>
              <w:left w:type="dxa" w:w="120"/>
              <w:bottom w:type="dxa" w:w="80"/>
              <w:right w:type="dxa" w:w="120"/>
            </w:tcMar>
            <w:vAlign w:val="center"/>
          </w:tcPr>
          <w:p>
            <w:r>
              <w:rPr>
                <w:b/>
                <w:bCs/>
                <w:color w:val="FFFFFF"/>
                <w:sz w:val="20"/>
                <w:szCs w:val="20"/>
              </w:rPr>
              <w:t xml:space="preserve">Layer</w:t>
            </w:r>
          </w:p>
        </w:tc>
        <w:tc>
          <w:tcPr>
            <w:shd w:fill="0F172A" w:val="clear"/>
            <w:tcMar>
              <w:top w:type="dxa" w:w="80"/>
              <w:left w:type="dxa" w:w="120"/>
              <w:bottom w:type="dxa" w:w="80"/>
              <w:right w:type="dxa" w:w="120"/>
            </w:tcMar>
            <w:vAlign w:val="center"/>
          </w:tcPr>
          <w:p>
            <w:r>
              <w:rPr>
                <w:b/>
                <w:bCs/>
                <w:color w:val="FFFFFF"/>
                <w:sz w:val="20"/>
                <w:szCs w:val="20"/>
              </w:rPr>
              <w:t xml:space="preserve">Technology</w:t>
            </w:r>
          </w:p>
        </w:tc>
      </w:tr>
      <w:tr>
        <w:tc>
          <w:tcPr>
            <w:tcMar>
              <w:top w:type="dxa" w:w="60"/>
              <w:left w:type="dxa" w:w="120"/>
              <w:bottom w:type="dxa" w:w="60"/>
              <w:right w:type="dxa" w:w="120"/>
            </w:tcMar>
            <w:vAlign w:val="center"/>
          </w:tcPr>
          <w:p>
            <w:pPr>
              <w:spacing w:after="0"/>
            </w:pPr>
            <w:r>
              <w:rPr>
                <w:color w:val="000000"/>
                <w:sz w:val="22"/>
                <w:szCs w:val="22"/>
              </w:rPr>
              <w:t xml:space="preserve">Frontend</w:t>
            </w:r>
          </w:p>
        </w:tc>
        <w:tc>
          <w:tcPr>
            <w:tcMar>
              <w:top w:type="dxa" w:w="60"/>
              <w:left w:type="dxa" w:w="120"/>
              <w:bottom w:type="dxa" w:w="60"/>
              <w:right w:type="dxa" w:w="120"/>
            </w:tcMar>
            <w:vAlign w:val="center"/>
          </w:tcPr>
          <w:p>
            <w:pPr>
              <w:spacing w:after="0"/>
            </w:pPr>
            <w:r>
              <w:rPr>
                <w:color w:val="000000"/>
                <w:sz w:val="22"/>
                <w:szCs w:val="22"/>
              </w:rPr>
              <w:t xml:space="preserve">React 18, Vite, TypeScript, Tailwind CSS v4, shadcn/ui</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Backend</w:t>
            </w:r>
          </w:p>
        </w:tc>
        <w:tc>
          <w:tcPr>
            <w:shd w:fill="F1F5F9" w:val="clear"/>
            <w:tcMar>
              <w:top w:type="dxa" w:w="60"/>
              <w:left w:type="dxa" w:w="120"/>
              <w:bottom w:type="dxa" w:w="60"/>
              <w:right w:type="dxa" w:w="120"/>
            </w:tcMar>
            <w:vAlign w:val="center"/>
          </w:tcPr>
          <w:p>
            <w:pPr>
              <w:spacing w:after="0"/>
            </w:pPr>
            <w:r>
              <w:rPr>
                <w:color w:val="000000"/>
                <w:sz w:val="22"/>
                <w:szCs w:val="22"/>
              </w:rPr>
              <w:t xml:space="preserve">Node.js, Express, Pino logging, esbuild</w:t>
            </w:r>
          </w:p>
        </w:tc>
      </w:tr>
      <w:tr>
        <w:tc>
          <w:tcPr>
            <w:tcMar>
              <w:top w:type="dxa" w:w="60"/>
              <w:left w:type="dxa" w:w="120"/>
              <w:bottom w:type="dxa" w:w="60"/>
              <w:right w:type="dxa" w:w="120"/>
            </w:tcMar>
            <w:vAlign w:val="center"/>
          </w:tcPr>
          <w:p>
            <w:pPr>
              <w:spacing w:after="0"/>
            </w:pPr>
            <w:r>
              <w:rPr>
                <w:color w:val="000000"/>
                <w:sz w:val="22"/>
                <w:szCs w:val="22"/>
              </w:rPr>
              <w:t xml:space="preserve">AI</w:t>
            </w:r>
          </w:p>
        </w:tc>
        <w:tc>
          <w:tcPr>
            <w:tcMar>
              <w:top w:type="dxa" w:w="60"/>
              <w:left w:type="dxa" w:w="120"/>
              <w:bottom w:type="dxa" w:w="60"/>
              <w:right w:type="dxa" w:w="120"/>
            </w:tcMar>
            <w:vAlign w:val="center"/>
          </w:tcPr>
          <w:p>
            <w:pPr>
              <w:spacing w:after="0"/>
            </w:pPr>
            <w:r>
              <w:rPr>
                <w:color w:val="000000"/>
                <w:sz w:val="22"/>
                <w:szCs w:val="22"/>
              </w:rPr>
              <w:t xml:space="preserve">Anthropic Claude claude-sonnet-4-6 via Replit AI Integrations proxy</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API client</w:t>
            </w:r>
          </w:p>
        </w:tc>
        <w:tc>
          <w:tcPr>
            <w:shd w:fill="F1F5F9" w:val="clear"/>
            <w:tcMar>
              <w:top w:type="dxa" w:w="60"/>
              <w:left w:type="dxa" w:w="120"/>
              <w:bottom w:type="dxa" w:w="60"/>
              <w:right w:type="dxa" w:w="120"/>
            </w:tcMar>
            <w:vAlign w:val="center"/>
          </w:tcPr>
          <w:p>
            <w:pPr>
              <w:spacing w:after="0"/>
            </w:pPr>
            <w:r>
              <w:rPr>
                <w:color w:val="000000"/>
                <w:sz w:val="22"/>
                <w:szCs w:val="22"/>
              </w:rPr>
              <w:t xml:space="preserve">Auto-generated TypeScript client from OpenAPI spec (orval)</w:t>
            </w:r>
          </w:p>
        </w:tc>
      </w:tr>
      <w:tr>
        <w:tc>
          <w:tcPr>
            <w:tcMar>
              <w:top w:type="dxa" w:w="60"/>
              <w:left w:type="dxa" w:w="120"/>
              <w:bottom w:type="dxa" w:w="60"/>
              <w:right w:type="dxa" w:w="120"/>
            </w:tcMar>
            <w:vAlign w:val="center"/>
          </w:tcPr>
          <w:p>
            <w:pPr>
              <w:spacing w:after="0"/>
            </w:pPr>
            <w:r>
              <w:rPr>
                <w:color w:val="000000"/>
                <w:sz w:val="22"/>
                <w:szCs w:val="22"/>
              </w:rPr>
              <w:t xml:space="preserve">Monorepo</w:t>
            </w:r>
          </w:p>
        </w:tc>
        <w:tc>
          <w:tcPr>
            <w:tcMar>
              <w:top w:type="dxa" w:w="60"/>
              <w:left w:type="dxa" w:w="120"/>
              <w:bottom w:type="dxa" w:w="60"/>
              <w:right w:type="dxa" w:w="120"/>
            </w:tcMar>
            <w:vAlign w:val="center"/>
          </w:tcPr>
          <w:p>
            <w:pPr>
              <w:spacing w:after="0"/>
            </w:pPr>
            <w:r>
              <w:rPr>
                <w:color w:val="000000"/>
                <w:sz w:val="22"/>
                <w:szCs w:val="22"/>
              </w:rPr>
              <w:t xml:space="preserve">pnpm workspace</w:t>
            </w:r>
          </w:p>
        </w:tc>
      </w:tr>
      <w:tr>
        <w:tc>
          <w:tcPr>
            <w:shd w:fill="F1F5F9" w:val="clear"/>
            <w:tcMar>
              <w:top w:type="dxa" w:w="60"/>
              <w:left w:type="dxa" w:w="120"/>
              <w:bottom w:type="dxa" w:w="60"/>
              <w:right w:type="dxa" w:w="120"/>
            </w:tcMar>
            <w:vAlign w:val="center"/>
          </w:tcPr>
          <w:p>
            <w:pPr>
              <w:spacing w:after="0"/>
            </w:pPr>
            <w:r>
              <w:rPr>
                <w:color w:val="000000"/>
                <w:sz w:val="22"/>
                <w:szCs w:val="22"/>
              </w:rPr>
              <w:t xml:space="preserve">Deployment</w:t>
            </w:r>
          </w:p>
        </w:tc>
        <w:tc>
          <w:tcPr>
            <w:shd w:fill="F1F5F9" w:val="clear"/>
            <w:tcMar>
              <w:top w:type="dxa" w:w="60"/>
              <w:left w:type="dxa" w:w="120"/>
              <w:bottom w:type="dxa" w:w="60"/>
              <w:right w:type="dxa" w:w="120"/>
            </w:tcMar>
            <w:vAlign w:val="center"/>
          </w:tcPr>
          <w:p>
            <w:pPr>
              <w:spacing w:after="0"/>
            </w:pPr>
            <w:r>
              <w:rPr>
                <w:color w:val="000000"/>
                <w:sz w:val="22"/>
                <w:szCs w:val="22"/>
              </w:rPr>
              <w:t xml:space="preserve">Replit Reserved VM (static frontend + Express API server)</w:t>
            </w:r>
          </w:p>
        </w:tc>
      </w:tr>
    </w:tbl>
    <w:p>
      <w:pPr>
        <w:spacing w:after="80"/>
      </w:pPr>
      <w:r>
        <w:t xml:space="preserve"/>
      </w:r>
    </w:p>
    <w:p>
      <w:pPr>
        <w:pStyle w:val="Heading2"/>
        <w:spacing w:after="100" w:before="280"/>
      </w:pPr>
      <w:r>
        <w:rPr>
          <w:b/>
          <w:bCs/>
          <w:color w:val="2563EB"/>
          <w:sz w:val="26"/>
          <w:szCs w:val="26"/>
        </w:rPr>
        <w:t xml:space="preserve">6.2 Monorepo Structure</w:t>
      </w:r>
    </w:p>
    <w:p>
      <w:pPr>
        <w:spacing w:after="160"/>
      </w:pPr>
      <w:r>
        <w:rPr>
          <w:color w:val="000000"/>
          <w:sz w:val="22"/>
          <w:szCs w:val="22"/>
        </w:rPr>
        <w:t xml:space="preserve">The project is a pnpm workspace with the following packages:</w:t>
      </w:r>
    </w:p>
    <w:p>
      <w:pPr>
        <w:pStyle w:val="ListParagraph"/>
        <w:numPr>
          <w:ilvl w:val="0"/>
          <w:numId w:val="1"/>
        </w:numPr>
        <w:spacing w:after="80"/>
      </w:pPr>
      <w:r>
        <w:rPr>
          <w:color w:val="000000"/>
          <w:sz w:val="22"/>
          <w:szCs w:val="22"/>
        </w:rPr>
        <w:t xml:space="preserve">artifacts/prd-to-evals — React + Vite frontend, serves as static files in production</w:t>
      </w:r>
    </w:p>
    <w:p>
      <w:pPr>
        <w:pStyle w:val="ListParagraph"/>
        <w:numPr>
          <w:ilvl w:val="0"/>
          <w:numId w:val="1"/>
        </w:numPr>
        <w:spacing w:after="80"/>
      </w:pPr>
      <w:r>
        <w:rPr>
          <w:color w:val="000000"/>
          <w:sz w:val="22"/>
          <w:szCs w:val="22"/>
        </w:rPr>
        <w:t xml:space="preserve">artifacts/api-server — Express API server on port 8080, path-routed at /api</w:t>
      </w:r>
    </w:p>
    <w:p>
      <w:pPr>
        <w:pStyle w:val="ListParagraph"/>
        <w:numPr>
          <w:ilvl w:val="0"/>
          <w:numId w:val="1"/>
        </w:numPr>
        <w:spacing w:after="80"/>
      </w:pPr>
      <w:r>
        <w:rPr>
          <w:color w:val="000000"/>
          <w:sz w:val="22"/>
          <w:szCs w:val="22"/>
        </w:rPr>
        <w:t xml:space="preserve">lib/api-client — OpenAPI-generated TypeScript client (plain fetch)</w:t>
      </w:r>
    </w:p>
    <w:p>
      <w:pPr>
        <w:pStyle w:val="ListParagraph"/>
        <w:numPr>
          <w:ilvl w:val="0"/>
          <w:numId w:val="1"/>
        </w:numPr>
        <w:spacing w:after="80"/>
      </w:pPr>
      <w:r>
        <w:rPr>
          <w:color w:val="000000"/>
          <w:sz w:val="22"/>
          <w:szCs w:val="22"/>
        </w:rPr>
        <w:t xml:space="preserve">lib/api-client-react — React Query wrappers around the API client</w:t>
      </w:r>
    </w:p>
    <w:p>
      <w:pPr>
        <w:pStyle w:val="ListParagraph"/>
        <w:numPr>
          <w:ilvl w:val="0"/>
          <w:numId w:val="1"/>
        </w:numPr>
        <w:spacing w:after="80"/>
      </w:pPr>
      <w:r>
        <w:rPr>
          <w:color w:val="000000"/>
          <w:sz w:val="22"/>
          <w:szCs w:val="22"/>
        </w:rPr>
        <w:t xml:space="preserve">lib/db — Drizzle ORM + PostgreSQL schema (provisioned, not used by app logic in v1)</w:t>
      </w:r>
    </w:p>
    <w:p>
      <w:pPr>
        <w:pStyle w:val="ListParagraph"/>
        <w:numPr>
          <w:ilvl w:val="0"/>
          <w:numId w:val="1"/>
        </w:numPr>
        <w:spacing w:after="80"/>
      </w:pPr>
      <w:r>
        <w:rPr>
          <w:color w:val="000000"/>
          <w:sz w:val="22"/>
          <w:szCs w:val="22"/>
        </w:rPr>
        <w:t xml:space="preserve">lib/integrations-anthropic-ai — Replit AI Integrations Anthropic SDK wrapper</w:t>
      </w:r>
    </w:p>
    <w:p>
      <w:pPr>
        <w:pStyle w:val="Heading2"/>
        <w:spacing w:after="100" w:before="280"/>
      </w:pPr>
      <w:r>
        <w:rPr>
          <w:b/>
          <w:bCs/>
          <w:color w:val="2563EB"/>
          <w:sz w:val="26"/>
          <w:szCs w:val="26"/>
        </w:rPr>
        <w:t xml:space="preserve">6.3 Security</w:t>
      </w:r>
    </w:p>
    <w:p>
      <w:pPr>
        <w:spacing w:after="160"/>
      </w:pPr>
      <w:r>
        <w:rPr>
          <w:color w:val="000000"/>
          <w:sz w:val="22"/>
          <w:szCs w:val="22"/>
        </w:rPr>
        <w:t xml:space="preserve">Production hardening applied to the API server:</w:t>
      </w:r>
    </w:p>
    <w:p>
      <w:pPr>
        <w:pStyle w:val="ListParagraph"/>
        <w:numPr>
          <w:ilvl w:val="0"/>
          <w:numId w:val="1"/>
        </w:numPr>
        <w:spacing w:after="80"/>
      </w:pPr>
      <w:r>
        <w:rPr>
          <w:color w:val="000000"/>
          <w:sz w:val="22"/>
          <w:szCs w:val="22"/>
        </w:rPr>
        <w:t xml:space="preserve">Helmet.js — sets secure HTTP headers (CSP, HSTS, X-Frame-Options, etc.)</w:t>
      </w:r>
    </w:p>
    <w:p>
      <w:pPr>
        <w:pStyle w:val="ListParagraph"/>
        <w:numPr>
          <w:ilvl w:val="0"/>
          <w:numId w:val="1"/>
        </w:numPr>
        <w:spacing w:after="80"/>
      </w:pPr>
      <w:r>
        <w:rPr>
          <w:color w:val="000000"/>
          <w:sz w:val="22"/>
          <w:szCs w:val="22"/>
        </w:rPr>
        <w:t xml:space="preserve">CORS restricted to *.replit.app origins in production</w:t>
      </w:r>
    </w:p>
    <w:p>
      <w:pPr>
        <w:pStyle w:val="ListParagraph"/>
        <w:numPr>
          <w:ilvl w:val="0"/>
          <w:numId w:val="1"/>
        </w:numPr>
        <w:spacing w:after="80"/>
      </w:pPr>
      <w:r>
        <w:rPr>
          <w:color w:val="000000"/>
          <w:sz w:val="22"/>
          <w:szCs w:val="22"/>
        </w:rPr>
        <w:t xml:space="preserve">Request body limit: 256 KB</w:t>
      </w:r>
    </w:p>
    <w:p>
      <w:pPr>
        <w:pStyle w:val="ListParagraph"/>
        <w:numPr>
          <w:ilvl w:val="0"/>
          <w:numId w:val="1"/>
        </w:numPr>
        <w:spacing w:after="80"/>
      </w:pPr>
      <w:r>
        <w:rPr>
          <w:color w:val="000000"/>
          <w:sz w:val="22"/>
          <w:szCs w:val="22"/>
        </w:rPr>
        <w:t xml:space="preserve">Rate limiting at three scopes (see §5.1)</w:t>
      </w:r>
    </w:p>
    <w:p>
      <w:pPr>
        <w:pStyle w:val="ListParagraph"/>
        <w:numPr>
          <w:ilvl w:val="0"/>
          <w:numId w:val="1"/>
        </w:numPr>
        <w:spacing w:after="80"/>
      </w:pPr>
      <w:r>
        <w:rPr>
          <w:color w:val="000000"/>
          <w:sz w:val="22"/>
          <w:szCs w:val="22"/>
        </w:rPr>
        <w:t xml:space="preserve">No stack traces in error responses in production (NODE_ENV guard)</w:t>
      </w:r>
    </w:p>
    <w:p>
      <w:pPr>
        <w:pStyle w:val="ListParagraph"/>
        <w:numPr>
          <w:ilvl w:val="0"/>
          <w:numId w:val="1"/>
        </w:numPr>
        <w:spacing w:after="80"/>
      </w:pPr>
      <w:r>
        <w:rPr>
          <w:color w:val="000000"/>
          <w:sz w:val="22"/>
          <w:szCs w:val="22"/>
        </w:rPr>
        <w:t xml:space="preserve">Session IDs generated with crypto.randomUUID() — no sequential or guessable IDs</w:t>
      </w:r>
    </w:p>
    <w:p>
      <w:pPr>
        <w:pStyle w:val="Heading2"/>
        <w:spacing w:after="100" w:before="280"/>
      </w:pPr>
      <w:r>
        <w:rPr>
          <w:b/>
          <w:bCs/>
          <w:color w:val="2563EB"/>
          <w:sz w:val="26"/>
          <w:szCs w:val="26"/>
        </w:rPr>
        <w:t xml:space="preserve">6.4 Design System (STRATOS)</w:t>
      </w:r>
    </w:p>
    <w:p>
      <w:pPr>
        <w:spacing w:after="160"/>
      </w:pPr>
      <w:r>
        <w:rPr>
          <w:color w:val="000000"/>
          <w:sz w:val="22"/>
          <w:szCs w:val="22"/>
        </w:rPr>
        <w:t xml:space="preserve">The frontend uses a custom design system with the following tokens:</w:t>
      </w:r>
    </w:p>
    <w:p>
      <w:pPr>
        <w:pStyle w:val="ListParagraph"/>
        <w:numPr>
          <w:ilvl w:val="0"/>
          <w:numId w:val="1"/>
        </w:numPr>
        <w:spacing w:after="80"/>
      </w:pPr>
      <w:r>
        <w:rPr>
          <w:color w:val="000000"/>
          <w:sz w:val="22"/>
          <w:szCs w:val="22"/>
        </w:rPr>
        <w:t xml:space="preserve">Primary background: #0F172A (dark navy)</w:t>
      </w:r>
    </w:p>
    <w:p>
      <w:pPr>
        <w:pStyle w:val="ListParagraph"/>
        <w:numPr>
          <w:ilvl w:val="0"/>
          <w:numId w:val="1"/>
        </w:numPr>
        <w:spacing w:after="80"/>
      </w:pPr>
      <w:r>
        <w:rPr>
          <w:color w:val="000000"/>
          <w:sz w:val="22"/>
          <w:szCs w:val="22"/>
        </w:rPr>
        <w:t xml:space="preserve">Accent: #2563EB (blue)</w:t>
      </w:r>
    </w:p>
    <w:p>
      <w:pPr>
        <w:pStyle w:val="ListParagraph"/>
        <w:numPr>
          <w:ilvl w:val="0"/>
          <w:numId w:val="1"/>
        </w:numPr>
        <w:spacing w:after="80"/>
      </w:pPr>
      <w:r>
        <w:rPr>
          <w:color w:val="000000"/>
          <w:sz w:val="22"/>
          <w:szCs w:val="22"/>
        </w:rPr>
        <w:t xml:space="preserve">Muted text: #64748B (slate)</w:t>
      </w:r>
    </w:p>
    <w:p>
      <w:pPr>
        <w:pStyle w:val="ListParagraph"/>
        <w:numPr>
          <w:ilvl w:val="0"/>
          <w:numId w:val="1"/>
        </w:numPr>
        <w:spacing w:after="80"/>
      </w:pPr>
      <w:r>
        <w:rPr>
          <w:color w:val="000000"/>
          <w:sz w:val="22"/>
          <w:szCs w:val="22"/>
        </w:rPr>
        <w:t xml:space="preserve">Heading font: Bricolage Grotesque</w:t>
      </w:r>
    </w:p>
    <w:p>
      <w:pPr>
        <w:pStyle w:val="ListParagraph"/>
        <w:numPr>
          <w:ilvl w:val="0"/>
          <w:numId w:val="1"/>
        </w:numPr>
        <w:spacing w:after="80"/>
      </w:pPr>
      <w:r>
        <w:rPr>
          <w:color w:val="000000"/>
          <w:sz w:val="22"/>
          <w:szCs w:val="22"/>
        </w:rPr>
        <w:t xml:space="preserve">Body font: Inter Tight</w:t>
      </w:r>
    </w:p>
    <w:p>
      <w:pPr>
        <w:pStyle w:val="ListParagraph"/>
        <w:numPr>
          <w:ilvl w:val="0"/>
          <w:numId w:val="1"/>
        </w:numPr>
        <w:spacing w:after="80"/>
      </w:pPr>
      <w:r>
        <w:rPr>
          <w:color w:val="000000"/>
          <w:sz w:val="22"/>
          <w:szCs w:val="22"/>
        </w:rPr>
        <w:t xml:space="preserve">Monospace: JetBrains Mono</w:t>
      </w:r>
    </w:p>
    <w:p>
      <w:pPr>
        <w:pStyle w:val="Heading1"/>
        <w:pBdr>
          <w:bottom w:val="single" w:color="E2E8F0" w:sz="4"/>
        </w:pBdr>
        <w:spacing w:after="160" w:before="400"/>
      </w:pPr>
      <w:r>
        <w:rPr>
          <w:b/>
          <w:bCs/>
          <w:color w:val="0F172A"/>
          <w:sz w:val="32"/>
          <w:szCs w:val="32"/>
        </w:rPr>
        <w:t xml:space="preserve">7. Constraints &amp; Known Limitations</w:t>
      </w:r>
    </w:p>
    <w:p>
      <w:pPr>
        <w:pStyle w:val="Heading2"/>
        <w:spacing w:after="100" w:before="280"/>
      </w:pPr>
      <w:r>
        <w:rPr>
          <w:b/>
          <w:bCs/>
          <w:color w:val="2563EB"/>
          <w:sz w:val="26"/>
          <w:szCs w:val="26"/>
        </w:rPr>
        <w:t xml:space="preserve">7.1 Current Limitations</w:t>
      </w:r>
    </w:p>
    <w:p>
      <w:pPr>
        <w:pStyle w:val="ListParagraph"/>
        <w:numPr>
          <w:ilvl w:val="0"/>
          <w:numId w:val="1"/>
        </w:numPr>
        <w:spacing w:after="80"/>
      </w:pPr>
      <w:r>
        <w:rPr>
          <w:color w:val="000000"/>
          <w:sz w:val="22"/>
          <w:szCs w:val="22"/>
        </w:rPr>
        <w:t xml:space="preserve">Sessions are ephemeral — all work is lost after 24 hours or server restart</w:t>
      </w:r>
    </w:p>
    <w:p>
      <w:pPr>
        <w:pStyle w:val="ListParagraph"/>
        <w:numPr>
          <w:ilvl w:val="0"/>
          <w:numId w:val="1"/>
        </w:numPr>
        <w:spacing w:after="80"/>
      </w:pPr>
      <w:r>
        <w:rPr>
          <w:color w:val="000000"/>
          <w:sz w:val="22"/>
          <w:szCs w:val="22"/>
        </w:rPr>
        <w:t xml:space="preserve">Spec input is free-text only; no PDF, DOCX, or structured format parsing</w:t>
      </w:r>
    </w:p>
    <w:p>
      <w:pPr>
        <w:pStyle w:val="ListParagraph"/>
        <w:numPr>
          <w:ilvl w:val="0"/>
          <w:numId w:val="1"/>
        </w:numPr>
        <w:spacing w:after="80"/>
      </w:pPr>
      <w:r>
        <w:rPr>
          <w:color w:val="000000"/>
          <w:sz w:val="22"/>
          <w:szCs w:val="22"/>
        </w:rPr>
        <w:t xml:space="preserve">Spec is truncated at 40,000 characters; very large documents lose tail content</w:t>
      </w:r>
    </w:p>
    <w:p>
      <w:pPr>
        <w:pStyle w:val="ListParagraph"/>
        <w:numPr>
          <w:ilvl w:val="0"/>
          <w:numId w:val="1"/>
        </w:numPr>
        <w:spacing w:after="80"/>
      </w:pPr>
      <w:r>
        <w:rPr>
          <w:color w:val="000000"/>
          <w:sz w:val="22"/>
          <w:szCs w:val="22"/>
        </w:rPr>
        <w:t xml:space="preserve">Inline case editing is not yet implemented (Edit button is a placeholder)</w:t>
      </w:r>
    </w:p>
    <w:p>
      <w:pPr>
        <w:pStyle w:val="ListParagraph"/>
        <w:numPr>
          <w:ilvl w:val="0"/>
          <w:numId w:val="1"/>
        </w:numPr>
        <w:spacing w:after="80"/>
      </w:pPr>
      <w:r>
        <w:rPr>
          <w:color w:val="000000"/>
          <w:sz w:val="22"/>
          <w:szCs w:val="22"/>
        </w:rPr>
        <w:t xml:space="preserve">Requirement regeneration for individual requirements re-runs the full generation pipeline for that requirement, not a targeted patch</w:t>
      </w:r>
    </w:p>
    <w:p>
      <w:pPr>
        <w:pStyle w:val="ListParagraph"/>
        <w:numPr>
          <w:ilvl w:val="0"/>
          <w:numId w:val="1"/>
        </w:numPr>
        <w:spacing w:after="80"/>
      </w:pPr>
      <w:r>
        <w:rPr>
          <w:color w:val="000000"/>
          <w:sz w:val="22"/>
          <w:szCs w:val="22"/>
        </w:rPr>
        <w:t xml:space="preserve">No authentication — anyone with the session URL can access the session</w:t>
      </w:r>
    </w:p>
    <w:p>
      <w:pPr>
        <w:pStyle w:val="ListParagraph"/>
        <w:numPr>
          <w:ilvl w:val="0"/>
          <w:numId w:val="1"/>
        </w:numPr>
        <w:spacing w:after="80"/>
      </w:pPr>
      <w:r>
        <w:rPr>
          <w:color w:val="000000"/>
          <w:sz w:val="22"/>
          <w:szCs w:val="22"/>
        </w:rPr>
        <w:t xml:space="preserve">No multi-user collaboration; one session per browser tab</w:t>
      </w:r>
    </w:p>
    <w:p>
      <w:pPr>
        <w:pStyle w:val="Heading2"/>
        <w:spacing w:after="100" w:before="280"/>
      </w:pPr>
      <w:r>
        <w:rPr>
          <w:b/>
          <w:bCs/>
          <w:color w:val="2563EB"/>
          <w:sz w:val="26"/>
          <w:szCs w:val="26"/>
        </w:rPr>
        <w:t xml:space="preserve">7.2 LLM Behaviour</w:t>
      </w:r>
    </w:p>
    <w:p>
      <w:pPr>
        <w:pStyle w:val="ListParagraph"/>
        <w:numPr>
          <w:ilvl w:val="0"/>
          <w:numId w:val="1"/>
        </w:numPr>
        <w:spacing w:after="80"/>
      </w:pPr>
      <w:r>
        <w:rPr>
          <w:color w:val="000000"/>
          <w:sz w:val="22"/>
          <w:szCs w:val="22"/>
        </w:rPr>
        <w:t xml:space="preserve">Extraction quality depends on spec clarity. Vague or stream-of-consciousness specs produce more non_testable and ambiguous requirements</w:t>
      </w:r>
    </w:p>
    <w:p>
      <w:pPr>
        <w:pStyle w:val="ListParagraph"/>
        <w:numPr>
          <w:ilvl w:val="0"/>
          <w:numId w:val="1"/>
        </w:numPr>
        <w:spacing w:after="80"/>
      </w:pPr>
      <w:r>
        <w:rPr>
          <w:color w:val="000000"/>
          <w:sz w:val="22"/>
          <w:szCs w:val="22"/>
        </w:rPr>
        <w:t xml:space="preserve">The model occasionally wraps JSON output in markdown code fences; the pipeline strips these</w:t>
      </w:r>
    </w:p>
    <w:p>
      <w:pPr>
        <w:pStyle w:val="ListParagraph"/>
        <w:numPr>
          <w:ilvl w:val="0"/>
          <w:numId w:val="1"/>
        </w:numPr>
        <w:spacing w:after="80"/>
      </w:pPr>
      <w:r>
        <w:rPr>
          <w:color w:val="000000"/>
          <w:sz w:val="22"/>
          <w:szCs w:val="22"/>
        </w:rPr>
        <w:t xml:space="preserve">If the model returns an empty array for extraction or generation, the pipeline throws and the user sees a toast error</w:t>
      </w:r>
    </w:p>
    <w:p>
      <w:pPr>
        <w:pStyle w:val="ListParagraph"/>
        <w:numPr>
          <w:ilvl w:val="0"/>
          <w:numId w:val="1"/>
        </w:numPr>
        <w:spacing w:after="80"/>
      </w:pPr>
      <w:r>
        <w:rPr>
          <w:color w:val="000000"/>
          <w:sz w:val="22"/>
          <w:szCs w:val="22"/>
        </w:rPr>
        <w:t xml:space="preserve">passThreshold is fixed at 0.7 for all rubrics and is not user-configurable in v1</w:t>
      </w:r>
    </w:p>
    <w:p>
      <w:pPr>
        <w:pStyle w:val="Heading1"/>
        <w:pBdr>
          <w:bottom w:val="single" w:color="E2E8F0" w:sz="4"/>
        </w:pBdr>
        <w:spacing w:after="160" w:before="400"/>
      </w:pPr>
      <w:r>
        <w:rPr>
          <w:b/>
          <w:bCs/>
          <w:color w:val="0F172A"/>
          <w:sz w:val="32"/>
          <w:szCs w:val="32"/>
        </w:rPr>
        <w:t xml:space="preserve">8. Future Roadmap</w:t>
      </w:r>
    </w:p>
    <w:p>
      <w:pPr>
        <w:pStyle w:val="Heading2"/>
        <w:spacing w:after="100" w:before="280"/>
      </w:pPr>
      <w:r>
        <w:rPr>
          <w:b/>
          <w:bCs/>
          <w:color w:val="2563EB"/>
          <w:sz w:val="26"/>
          <w:szCs w:val="26"/>
        </w:rPr>
        <w:t xml:space="preserve">Phase 2 — Persistence &amp; Collaboration</w:t>
      </w:r>
    </w:p>
    <w:p>
      <w:pPr>
        <w:pStyle w:val="ListParagraph"/>
        <w:numPr>
          <w:ilvl w:val="0"/>
          <w:numId w:val="1"/>
        </w:numPr>
        <w:spacing w:after="80"/>
      </w:pPr>
      <w:r>
        <w:rPr>
          <w:color w:val="000000"/>
          <w:sz w:val="22"/>
          <w:szCs w:val="22"/>
        </w:rPr>
        <w:t xml:space="preserve">Migrate session storage from process memory to PostgreSQL (Drizzle schema already provisioned)</w:t>
      </w:r>
    </w:p>
    <w:p>
      <w:pPr>
        <w:pStyle w:val="ListParagraph"/>
        <w:numPr>
          <w:ilvl w:val="0"/>
          <w:numId w:val="1"/>
        </w:numPr>
        <w:spacing w:after="80"/>
      </w:pPr>
      <w:r>
        <w:rPr>
          <w:color w:val="000000"/>
          <w:sz w:val="22"/>
          <w:szCs w:val="22"/>
        </w:rPr>
        <w:t xml:space="preserve">Add user authentication (Replit Auth or Clerk)</w:t>
      </w:r>
    </w:p>
    <w:p>
      <w:pPr>
        <w:pStyle w:val="ListParagraph"/>
        <w:numPr>
          <w:ilvl w:val="0"/>
          <w:numId w:val="1"/>
        </w:numPr>
        <w:spacing w:after="80"/>
      </w:pPr>
      <w:r>
        <w:rPr>
          <w:color w:val="000000"/>
          <w:sz w:val="22"/>
          <w:szCs w:val="22"/>
        </w:rPr>
        <w:t xml:space="preserve">Named, shareable session links with read/write access control</w:t>
      </w:r>
    </w:p>
    <w:p>
      <w:pPr>
        <w:pStyle w:val="ListParagraph"/>
        <w:numPr>
          <w:ilvl w:val="0"/>
          <w:numId w:val="1"/>
        </w:numPr>
        <w:spacing w:after="80"/>
      </w:pPr>
      <w:r>
        <w:rPr>
          <w:color w:val="000000"/>
          <w:sz w:val="22"/>
          <w:szCs w:val="22"/>
        </w:rPr>
        <w:t xml:space="preserve">Session history — list and re-open past sessions</w:t>
      </w:r>
    </w:p>
    <w:p>
      <w:pPr>
        <w:pStyle w:val="Heading2"/>
        <w:spacing w:after="100" w:before="280"/>
      </w:pPr>
      <w:r>
        <w:rPr>
          <w:b/>
          <w:bCs/>
          <w:color w:val="2563EB"/>
          <w:sz w:val="26"/>
          <w:szCs w:val="26"/>
        </w:rPr>
        <w:t xml:space="preserve">Phase 3 — Generation Quality</w:t>
      </w:r>
    </w:p>
    <w:p>
      <w:pPr>
        <w:pStyle w:val="ListParagraph"/>
        <w:numPr>
          <w:ilvl w:val="0"/>
          <w:numId w:val="1"/>
        </w:numPr>
        <w:spacing w:after="80"/>
      </w:pPr>
      <w:r>
        <w:rPr>
          <w:color w:val="000000"/>
          <w:sz w:val="22"/>
          <w:szCs w:val="22"/>
        </w:rPr>
        <w:t xml:space="preserve">Inline case editing (full rubric and prompt edits in the browser)</w:t>
      </w:r>
    </w:p>
    <w:p>
      <w:pPr>
        <w:pStyle w:val="ListParagraph"/>
        <w:numPr>
          <w:ilvl w:val="0"/>
          <w:numId w:val="1"/>
        </w:numPr>
        <w:spacing w:after="80"/>
      </w:pPr>
      <w:r>
        <w:rPr>
          <w:color w:val="000000"/>
          <w:sz w:val="22"/>
          <w:szCs w:val="22"/>
        </w:rPr>
        <w:t xml:space="preserve">Per-requirement regeneration nudge — natural-language instruction to steer the next generation pass</w:t>
      </w:r>
    </w:p>
    <w:p>
      <w:pPr>
        <w:pStyle w:val="ListParagraph"/>
        <w:numPr>
          <w:ilvl w:val="0"/>
          <w:numId w:val="1"/>
        </w:numPr>
        <w:spacing w:after="80"/>
      </w:pPr>
      <w:r>
        <w:rPr>
          <w:color w:val="000000"/>
          <w:sz w:val="22"/>
          <w:szCs w:val="22"/>
        </w:rPr>
        <w:t xml:space="preserve">Multi-turn refinement — send approved cases back to the model to generate edge cases and adversarial variants</w:t>
      </w:r>
    </w:p>
    <w:p>
      <w:pPr>
        <w:pStyle w:val="ListParagraph"/>
        <w:numPr>
          <w:ilvl w:val="0"/>
          <w:numId w:val="1"/>
        </w:numPr>
        <w:spacing w:after="80"/>
      </w:pPr>
      <w:r>
        <w:rPr>
          <w:color w:val="000000"/>
          <w:sz w:val="22"/>
          <w:szCs w:val="22"/>
        </w:rPr>
        <w:t xml:space="preserve">Configurable passThreshold and grader weights</w:t>
      </w:r>
    </w:p>
    <w:p>
      <w:pPr>
        <w:pStyle w:val="Heading2"/>
        <w:spacing w:after="100" w:before="280"/>
      </w:pPr>
      <w:r>
        <w:rPr>
          <w:b/>
          <w:bCs/>
          <w:color w:val="2563EB"/>
          <w:sz w:val="26"/>
          <w:szCs w:val="26"/>
        </w:rPr>
        <w:t xml:space="preserve">Phase 4 — Integrations</w:t>
      </w:r>
    </w:p>
    <w:p>
      <w:pPr>
        <w:pStyle w:val="ListParagraph"/>
        <w:numPr>
          <w:ilvl w:val="0"/>
          <w:numId w:val="1"/>
        </w:numPr>
        <w:spacing w:after="80"/>
      </w:pPr>
      <w:r>
        <w:rPr>
          <w:color w:val="000000"/>
          <w:sz w:val="22"/>
          <w:szCs w:val="22"/>
        </w:rPr>
        <w:t xml:space="preserve">Direct export to promptfoo project directories via GitHub PR</w:t>
      </w:r>
    </w:p>
    <w:p>
      <w:pPr>
        <w:pStyle w:val="ListParagraph"/>
        <w:numPr>
          <w:ilvl w:val="0"/>
          <w:numId w:val="1"/>
        </w:numPr>
        <w:spacing w:after="80"/>
      </w:pPr>
      <w:r>
        <w:rPr>
          <w:color w:val="000000"/>
          <w:sz w:val="22"/>
          <w:szCs w:val="22"/>
        </w:rPr>
        <w:t xml:space="preserve">Jira / Linear ticket creation from individual requirements</w:t>
      </w:r>
    </w:p>
    <w:p>
      <w:pPr>
        <w:pStyle w:val="ListParagraph"/>
        <w:numPr>
          <w:ilvl w:val="0"/>
          <w:numId w:val="1"/>
        </w:numPr>
        <w:spacing w:after="80"/>
      </w:pPr>
      <w:r>
        <w:rPr>
          <w:color w:val="000000"/>
          <w:sz w:val="22"/>
          <w:szCs w:val="22"/>
        </w:rPr>
        <w:t xml:space="preserve">Webhook-triggered spec import (push a new spec, get cases in Slack)</w:t>
      </w:r>
    </w:p>
    <w:p>
      <w:pPr>
        <w:pStyle w:val="ListParagraph"/>
        <w:numPr>
          <w:ilvl w:val="0"/>
          <w:numId w:val="1"/>
        </w:numPr>
        <w:spacing w:after="80"/>
      </w:pPr>
      <w:r>
        <w:rPr>
          <w:color w:val="000000"/>
          <w:sz w:val="22"/>
          <w:szCs w:val="22"/>
        </w:rPr>
        <w:t xml:space="preserve">PDF and DOCX spec parsing</w:t>
      </w:r>
    </w:p>
    <w:p>
      <w:pPr>
        <w:pStyle w:val="Heading1"/>
        <w:pBdr>
          <w:bottom w:val="single" w:color="E2E8F0" w:sz="4"/>
        </w:pBdr>
        <w:spacing w:after="160" w:before="400"/>
      </w:pPr>
      <w:r>
        <w:rPr>
          <w:b/>
          <w:bCs/>
          <w:color w:val="0F172A"/>
          <w:sz w:val="32"/>
          <w:szCs w:val="32"/>
        </w:rPr>
        <w:t xml:space="preserve">Appendix A — Eval Case Schema</w:t>
      </w:r>
    </w:p>
    <w:p>
      <w:pPr>
        <w:spacing w:after="160"/>
      </w:pPr>
      <w:r>
        <w:rPr>
          <w:color w:val="000000"/>
          <w:sz w:val="22"/>
          <w:szCs w:val="22"/>
        </w:rPr>
        <w:t xml:space="preserve">The canonical JSON schema for an eval case:</w:t>
      </w:r>
    </w:p>
    <w:p>
      <w:pPr>
        <w:spacing w:after="200"/>
        <w:ind w:left="360"/>
      </w:pPr>
      <w:r>
        <w:rPr>
          <w:rFonts w:ascii="Courier New" w:cs="Courier New" w:eastAsia="Courier New" w:hAnsi="Courier New"/>
          <w:color w:val="64748B"/>
          <w:sz w:val="18"/>
          <w:szCs w:val="18"/>
        </w:rPr>
        <w:t xml:space="preserve">{
  "id":          "string  — unique case ID, e.g. billing-agent-001",
  "suite":       "string  — slug of the spec title",
  "description": "string  — one-line summary",
  "category":    "task_success | guardrail | format | tool_use",
  "input": {
    "messages":  [{ "role": "user", "content": "string" }],
    "context":   {}
  },
  "expected": {
    "behaviour": "string  — prose description of passing response",
    "graders": [{
      "type":          "llm_judge",
      "rubric":        "string  — binary pass/fail criteria",
      "passThreshold": 0.7
    }]
  },
  "weight":             1.0,
  "tags":               ["REQ-001", "task_success"],
  "sourceRequirement":  "string  — full requirement text"
}</w:t>
      </w:r>
    </w:p>
    <w:p>
      <w:pPr>
        <w:pStyle w:val="Heading1"/>
        <w:pBdr>
          <w:bottom w:val="single" w:color="E2E8F0" w:sz="4"/>
        </w:pBdr>
        <w:spacing w:after="160" w:before="400"/>
      </w:pPr>
      <w:r>
        <w:rPr>
          <w:b/>
          <w:bCs/>
          <w:color w:val="0F172A"/>
          <w:sz w:val="32"/>
          <w:szCs w:val="32"/>
        </w:rPr>
        <w:t xml:space="preserve">Appendix B — Sample Spec</w:t>
      </w:r>
    </w:p>
    <w:p>
      <w:pPr>
        <w:spacing w:after="160"/>
      </w:pPr>
      <w:r>
        <w:rPr>
          <w:color w:val="000000"/>
          <w:sz w:val="22"/>
          <w:szCs w:val="22"/>
        </w:rPr>
        <w:t xml:space="preserve">The built-in sample spec demonstrates all five requirement types:</w:t>
      </w:r>
    </w:p>
    <w:p>
      <w:pPr>
        <w:spacing w:after="200"/>
        <w:ind w:left="360"/>
      </w:pPr>
      <w:r>
        <w:rPr>
          <w:rFonts w:ascii="Courier New" w:cs="Courier New" w:eastAsia="Courier New" w:hAnsi="Courier New"/>
          <w:color w:val="64748B"/>
          <w:sz w:val="18"/>
          <w:szCs w:val="18"/>
        </w:rPr>
        <w:t xml:space="preserve"># Billing Agent Spec
The billing agent must issue refunds for double-charges within the 30-day window.
It must not issue refunds for requests older than 30 days, and must explain the
policy when declining.
The agent should respond in the same language as the customer.
Be helpful to customers at all times.
When issuing a refund, the agent must call the process_refund tool with the
correct order ID.</w:t>
      </w:r>
    </w:p>
    <w:p>
      <w:pPr>
        <w:spacing w:after="160"/>
      </w:pPr>
      <w:r>
        <w:rPr>
          <w:color w:val="000000"/>
          <w:sz w:val="22"/>
          <w:szCs w:val="22"/>
        </w:rPr>
        <w:t xml:space="preserve">This spec produces:</w:t>
      </w:r>
    </w:p>
    <w:p>
      <w:pPr>
        <w:pStyle w:val="ListParagraph"/>
        <w:numPr>
          <w:ilvl w:val="0"/>
          <w:numId w:val="1"/>
        </w:numPr>
        <w:spacing w:after="80"/>
      </w:pPr>
      <w:r>
        <w:rPr>
          <w:color w:val="000000"/>
          <w:sz w:val="22"/>
          <w:szCs w:val="22"/>
        </w:rPr>
        <w:t xml:space="preserve">REQ-001 (capability) — issue refunds within 30 days → 1 task_success case</w:t>
      </w:r>
    </w:p>
    <w:p>
      <w:pPr>
        <w:pStyle w:val="ListParagraph"/>
        <w:numPr>
          <w:ilvl w:val="0"/>
          <w:numId w:val="1"/>
        </w:numPr>
        <w:spacing w:after="80"/>
      </w:pPr>
      <w:r>
        <w:rPr>
          <w:color w:val="000000"/>
          <w:sz w:val="22"/>
          <w:szCs w:val="22"/>
        </w:rPr>
        <w:t xml:space="preserve">REQ-002 (constraint) — must not issue refunds older than 30 days → 1 task_success + 1 guardrail case</w:t>
      </w:r>
    </w:p>
    <w:p>
      <w:pPr>
        <w:pStyle w:val="ListParagraph"/>
        <w:numPr>
          <w:ilvl w:val="0"/>
          <w:numId w:val="1"/>
        </w:numPr>
        <w:spacing w:after="80"/>
      </w:pPr>
      <w:r>
        <w:rPr>
          <w:color w:val="000000"/>
          <w:sz w:val="22"/>
          <w:szCs w:val="22"/>
        </w:rPr>
        <w:t xml:space="preserve">REQ-003 (format) — respond in customer's language → 1 format case</w:t>
      </w:r>
    </w:p>
    <w:p>
      <w:pPr>
        <w:pStyle w:val="ListParagraph"/>
        <w:numPr>
          <w:ilvl w:val="0"/>
          <w:numId w:val="1"/>
        </w:numPr>
        <w:spacing w:after="80"/>
      </w:pPr>
      <w:r>
        <w:rPr>
          <w:color w:val="000000"/>
          <w:sz w:val="22"/>
          <w:szCs w:val="22"/>
        </w:rPr>
        <w:t xml:space="preserve">REQ-004 (non_testable) — be helpful at all times → excluded, ambiguity flag + suggested rewrite</w:t>
      </w:r>
    </w:p>
    <w:p>
      <w:pPr>
        <w:pStyle w:val="ListParagraph"/>
        <w:numPr>
          <w:ilvl w:val="0"/>
          <w:numId w:val="1"/>
        </w:numPr>
        <w:spacing w:after="80"/>
      </w:pPr>
      <w:r>
        <w:rPr>
          <w:color w:val="000000"/>
          <w:sz w:val="22"/>
          <w:szCs w:val="22"/>
        </w:rPr>
        <w:t xml:space="preserve">REQ-005 (tool_use) — call process_refund tool → 1 tool_use case</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Evaluator — PRD</dc:title>
  <dc:creator>Riley Trottier</dc:creator>
  <dc:description>Product Requirements Document for the PRD-to-Evals Engine</dc:description>
  <cp:lastModifiedBy>Un-named</cp:lastModifiedBy>
  <cp:revision>1</cp:revision>
  <dcterms:created xsi:type="dcterms:W3CDTF">2026-07-19T03:00:33.536Z</dcterms:created>
  <dcterms:modified xsi:type="dcterms:W3CDTF">2026-07-19T03:00:33.537Z</dcterms:modified>
</cp:coreProperties>
</file>

<file path=docProps/custom.xml><?xml version="1.0" encoding="utf-8"?>
<Properties xmlns="http://schemas.openxmlformats.org/officeDocument/2006/custom-properties" xmlns:vt="http://schemas.openxmlformats.org/officeDocument/2006/docPropsVTypes"/>
</file>