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d’analyse des nouvelles données – FastIA</w:t>
      </w:r>
    </w:p>
    <w:p>
      <w:pPr>
        <w:pStyle w:val="Heading2"/>
      </w:pPr>
      <w:r>
        <w:t>1. Description du dataset</w:t>
      </w:r>
    </w:p>
    <w:p>
      <w:r>
        <w:t>Le fichier data-all.csv contient 10000 lignes et 22 colonnes. Il regroupe des données clients enrichies provenant de nouvelles sources internes ou partenaires.</w:t>
      </w:r>
    </w:p>
    <w:p>
      <w:pPr>
        <w:pStyle w:val="Heading2"/>
      </w:pPr>
      <w:r>
        <w:t>2. Colonnes nouvelles identifiées</w:t>
      </w:r>
    </w:p>
    <w:p>
      <w:r>
        <w:t>- nb_enfants : nombre d’enfants à charge</w:t>
        <w:br/>
        <w:t>- quotient_caf : indicateur socio-économique</w:t>
        <w:br/>
        <w:t>- orientation_sexuelle : information sensible d’ordre personnel</w:t>
      </w:r>
    </w:p>
    <w:p>
      <w:pPr>
        <w:pStyle w:val="Heading2"/>
      </w:pPr>
      <w:r>
        <w:t>3. Valeurs manquantes (% des 4 colonnes principales)</w:t>
      </w:r>
    </w:p>
    <w:p>
      <w:r>
        <w:t>- historique_credits : 53.08 % de valeurs manquantes</w:t>
      </w:r>
    </w:p>
    <w:p>
      <w:r>
        <w:t>- score_credit : 52.56 % de valeurs manquantes</w:t>
      </w:r>
    </w:p>
    <w:p>
      <w:r>
        <w:t>- loyer_mensuel : 29.71 % de valeurs manquantes</w:t>
      </w:r>
    </w:p>
    <w:p>
      <w:r>
        <w:t>- situation_familiale : 24.55 % de valeurs manquantes</w:t>
      </w:r>
    </w:p>
    <w:p>
      <w:pPr>
        <w:pStyle w:val="Heading2"/>
      </w:pPr>
      <w:r>
        <w:t>4. Anomalies chiffrées détectées</w:t>
      </w:r>
    </w:p>
    <w:p>
      <w:r>
        <w:t>- nb_enfants négatif : 252 lignes</w:t>
        <w:br/>
        <w:t>- quotient_caf négatif : 66 lignes</w:t>
        <w:br/>
        <w:t>- loyer_mensuel négatif : 8 lignes</w:t>
      </w:r>
    </w:p>
    <w:p>
      <w:pPr>
        <w:pStyle w:val="Heading2"/>
      </w:pPr>
      <w:r>
        <w:t>5. Décisions de traitement</w:t>
      </w:r>
    </w:p>
    <w:p>
      <w:r>
        <w:t>- Valeurs négatives incohérentes : remplacées par NaN</w:t>
        <w:br/>
        <w:t>- Valeurs manquantes : imputation par la médiane (variables numériques)</w:t>
        <w:br/>
        <w:t>- Colonnes sensibles : exclues du modèle IA</w:t>
      </w:r>
    </w:p>
    <w:p>
      <w:pPr>
        <w:pStyle w:val="Heading2"/>
      </w:pPr>
      <w:r>
        <w:t>6. Note éthique – orientation_sexuelle</w:t>
      </w:r>
    </w:p>
    <w:p>
      <w:r>
        <w:t>La colonne orientation_sexuelle constitue une donnée sensible. Elle n’est pas utilisée dans le modèle d’IA afin d’éviter tout biais ou discrimination. Son stockage est limité et son accès restreint.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