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FilingLens</w:t>
      </w:r>
    </w:p>
    <w:p>
      <w:pPr>
        <w:pStyle w:val="Title"/>
      </w:pPr>
      <w:r>
        <w:t>Data Engineering</w:t>
        <w:br/>
        <w:t>Incident Report</w:t>
      </w:r>
    </w:p>
    <w:p>
      <w:pPr>
        <w:pStyle w:val="Subtitle"/>
      </w:pPr>
      <w:r>
        <w:t>Qdrant ingestion request exceeded the payload limit</w:t>
      </w:r>
    </w:p>
    <w:p/>
    <w:p>
      <w:pPr>
        <w:pStyle w:val="Heading2"/>
      </w:pPr>
      <w:r>
        <w:t>Resolution status</w:t>
      </w:r>
    </w:p>
    <w:p>
      <w:r>
        <w:t>Implemented — Pending Retest</w:t>
      </w:r>
    </w:p>
    <w:p>
      <w:r>
        <w:t>Prepared 16 October 2026</w:t>
      </w:r>
    </w:p>
    <w:p>
      <w:r>
        <w:t>Technical review for the FilingLens graduate capstone and engineering portfolio</w:t>
      </w:r>
    </w:p>
    <w:p/>
    <w:p>
      <w:pPr>
        <w:pStyle w:val="Heading2"/>
      </w:pPr>
      <w:r>
        <w:t>Purpose</w:t>
      </w:r>
    </w:p>
    <w:p>
      <w:r>
        <w:t>Explain the failed vector upload, document the batching change confirmed in the repository, and define the evidence required before declaring the VM ingestion pipeline recovered.</w:t>
      </w:r>
    </w:p>
    <w:p>
      <w:pPr>
        <w:pStyle w:val="Heading2"/>
      </w:pPr>
      <w:r>
        <w:t>Scope</w:t>
      </w:r>
    </w:p>
    <w:p>
      <w:r>
        <w:t>Repository implementation and configuration, existing local test reports, and the supplied VM incident logs. Application source code was not modified during this documentation review.</w:t>
      </w:r>
    </w:p>
    <w:p>
      <w:pPr>
        <w:pStyle w:val="Heading2"/>
      </w:pPr>
      <w:r>
        <w:t>Decision required</w:t>
      </w:r>
    </w:p>
    <w:p>
      <w:r>
        <w:t>Deploy the updated QdrantService, execute a controlled VM retest, and verify persisted points and retrieval before closing the incident.</w:t>
      </w:r>
    </w:p>
    <w:p>
      <w:r>
        <w:br w:type="page"/>
      </w:r>
    </w:p>
    <w:p>
      <w:pPr>
        <w:pStyle w:val="Heading1"/>
      </w:pPr>
      <w:r>
        <w:t>1 Executive Summary</w:t>
      </w:r>
    </w:p>
    <w:p>
      <w:r>
        <w:t>FilingLens generated 8,822 embeddings but failed when loading them into Qdrant. The backend sent all points from the file in a single JSON request containing 129,771,332 bytes, approximately 123.76 MiB. Qdrant rejected it with HTTP 400 because its effective request limit was 33,554,432 bytes, or 32 MiB. The backend translated this downstream error into HTTP 502. [S1, S2, S8]</w:t>
      </w:r>
    </w:p>
    <w:p>
      <w:r>
        <w:t>The request ran for 18,212,902 ms, about 5 hours 4 minutes. The rejected upload did not insert those points; any points from earlier runs remain separate. Embeddings existed in backend memory without a persistent checkpoint, so the failed run cannot resume from its generated vectors. [S1, S2]</w:t>
      </w:r>
    </w:p>
    <w:p>
      <w:r>
        <w:t>The local resolution limits each upload to 100 points, waits for Qdrant to acknowledge each batch, clears the uploaded buffer, and logs cumulative progress. Existing local tests pass for a 205-point fixture, but a successful post-fix VM run has not been verified. Resolution status remains Implemented — Pending Retest. [S2, S7]</w:t>
      </w:r>
    </w:p>
    <w:p>
      <w:pPr>
        <w:pStyle w:val="Heading1"/>
      </w:pPr>
      <w:r>
        <w:t>2 Data Pipeline Architecture</w:t>
      </w:r>
    </w:p>
    <w:p>
      <w:r>
        <w:drawing>
          <wp:inline xmlns:a="http://schemas.openxmlformats.org/drawingml/2006/main" xmlns:pic="http://schemas.openxmlformats.org/drawingml/2006/picture">
            <wp:extent cx="6400800" cy="1457960"/>
            <wp:docPr id="1" name="Picture 1"/>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6400800" cy="1457960"/>
                    </a:xfrm>
                    <a:prstGeom prst="rect"/>
                  </pic:spPr>
                </pic:pic>
              </a:graphicData>
            </a:graphic>
          </wp:inline>
        </w:drawing>
      </w:r>
    </w:p>
    <w:p>
      <w:pPr>
        <w:pStyle w:val="Caption"/>
      </w:pPr>
      <w:r>
        <w:t>Figure 1  Current ingestion workflow with incremental uploads</w:t>
      </w:r>
    </w:p>
    <w:p>
      <w:r>
        <w:t>POST /api/admin/ingest delegates to IngestionService.ingestAll(source). Local mode lists and sorts .parquet files in DATA_DIR; blob mode downloads container files to temporary paths. ParquetFilingReader maps eligible 10-K data to Item 7 and Item 7A sections. TextChunker splits each section, and QdrantService.upsert constructs point payloads and requests one embedding per chunk from Ollama. [S2–S5]</w:t>
      </w:r>
    </w:p>
    <w:p>
      <w:r>
        <w:t>QdrantService.uploadBatch owns the outgoing PUT /collections/{collection}/points?wait=true request. Each point contains an ID, a numeric vector, and JSON metadata: company, year, section, filing_date, source_file, and text. The RAG query path embeds a question, searches Qdrant with optional company and year filters, and passes retrieved text to the chat model. [S2, S6, S8]</w:t>
      </w:r>
    </w:p>
    <w:p>
      <w:r>
        <w:t>The repository targets Java 21, not Java 17: both pom.xml and the backend Dockerfile specify Java 21. The reviewed dependency versions are Spring Boot 3.5.13 and LangChain4j 1.12.1. [S6]</w:t>
      </w:r>
    </w:p>
    <w:p>
      <w:r>
        <w:br w:type="page"/>
      </w:r>
    </w:p>
    <w:p>
      <w:pPr>
        <w:pStyle w:val="Heading1"/>
      </w:pPr>
      <w:r>
        <w:t>3 Incident Description</w:t>
      </w:r>
    </w:p>
    <w:tbl>
      <w:tblPr>
        <w:tblW w:type="auto" w:w="0"/>
        <w:jc w:val="center"/>
        <w:tblLayout w:type="fixed"/>
        <w:tblLook w:firstColumn="1" w:firstRow="1" w:lastColumn="0" w:lastRow="0" w:noHBand="0" w:noVBand="1" w:val="04A0"/>
      </w:tblPr>
      <w:tblGrid>
        <w:gridCol w:w="1944"/>
        <w:gridCol w:w="8136"/>
      </w:tblGrid>
      <w:tr>
        <w:trPr>
          <w:tblHeader/>
          <w:cantSplit/>
        </w:trPr>
        <w:tc>
          <w:tcPr>
            <w:tcW w:type="dxa" w:w="194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17364D"/>
          </w:tcPr>
          <w:p>
            <w:pPr>
              <w:spacing w:after="40" w:line="245" w:lineRule="auto"/>
            </w:pPr>
            <w:r>
              <w:rPr>
                <w:b/>
                <w:color w:val="FFFFFF"/>
                <w:sz w:val="18"/>
              </w:rPr>
              <w:t>Property</w:t>
            </w:r>
          </w:p>
        </w:tc>
        <w:tc>
          <w:tcPr>
            <w:tcW w:type="dxa" w:w="813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17364D"/>
          </w:tcPr>
          <w:p>
            <w:pPr>
              <w:spacing w:after="40" w:line="245" w:lineRule="auto"/>
            </w:pPr>
            <w:r>
              <w:rPr>
                <w:b/>
                <w:color w:val="FFFFFF"/>
                <w:sz w:val="18"/>
              </w:rPr>
              <w:t>Observed evidence</w:t>
            </w:r>
          </w:p>
        </w:tc>
      </w:tr>
      <w:tr>
        <w:trPr>
          <w:cantSplit/>
        </w:trPr>
        <w:tc>
          <w:tcPr>
            <w:tcW w:type="dxa" w:w="194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b w:val="0"/>
                <w:color w:val="000000"/>
                <w:sz w:val="18"/>
              </w:rPr>
              <w:t>Environment</w:t>
            </w:r>
          </w:p>
        </w:tc>
        <w:tc>
          <w:tcPr>
            <w:tcW w:type="dxa" w:w="813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b w:val="0"/>
                <w:color w:val="000000"/>
                <w:sz w:val="18"/>
              </w:rPr>
              <w:t>Cloud VM; Docker Compose backend, Ollama and Qdrant services. Qdrant image v1.13.6; Ollama image 0.6.6. [S6]</w:t>
            </w:r>
          </w:p>
        </w:tc>
      </w:tr>
      <w:tr>
        <w:trPr>
          <w:cantSplit/>
        </w:trPr>
        <w:tc>
          <w:tcPr>
            <w:tcW w:type="dxa" w:w="194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4F6"/>
          </w:tcPr>
          <w:p>
            <w:pPr>
              <w:spacing w:after="40" w:line="245" w:lineRule="auto"/>
            </w:pPr>
            <w:r>
              <w:rPr>
                <w:b w:val="0"/>
                <w:color w:val="000000"/>
                <w:sz w:val="18"/>
              </w:rPr>
              <w:t>Input and processing</w:t>
            </w:r>
          </w:p>
        </w:tc>
        <w:tc>
          <w:tcPr>
            <w:tcW w:type="dxa" w:w="813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4F6"/>
          </w:tcPr>
          <w:p>
            <w:pPr>
              <w:spacing w:after="40" w:line="245" w:lineRule="auto"/>
            </w:pPr>
            <w:r>
              <w:rPr>
                <w:b w:val="0"/>
                <w:color w:val="000000"/>
                <w:sz w:val="18"/>
              </w:rPr>
              <w:t>2022 Parquet run; 494 input rows and 976 mapped sections in supplied operational logs; final point buffer contained 8,822 points. [S1]</w:t>
            </w:r>
          </w:p>
        </w:tc>
      </w:tr>
      <w:tr>
        <w:trPr>
          <w:cantSplit/>
        </w:trPr>
        <w:tc>
          <w:tcPr>
            <w:tcW w:type="dxa" w:w="194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b w:val="0"/>
                <w:color w:val="000000"/>
                <w:sz w:val="18"/>
              </w:rPr>
              <w:t>Failure boundary</w:t>
            </w:r>
          </w:p>
        </w:tc>
        <w:tc>
          <w:tcPr>
            <w:tcW w:type="dxa" w:w="813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b w:val="0"/>
                <w:color w:val="000000"/>
                <w:sz w:val="18"/>
              </w:rPr>
              <w:t>PUT http://qdrant:6333/collections/sec_10k_sections/points</w:t>
            </w:r>
          </w:p>
        </w:tc>
      </w:tr>
      <w:tr>
        <w:trPr>
          <w:cantSplit/>
        </w:trPr>
        <w:tc>
          <w:tcPr>
            <w:tcW w:type="dxa" w:w="194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4F6"/>
          </w:tcPr>
          <w:p>
            <w:pPr>
              <w:spacing w:after="40" w:line="245" w:lineRule="auto"/>
            </w:pPr>
            <w:r>
              <w:rPr>
                <w:b w:val="0"/>
                <w:color w:val="000000"/>
                <w:sz w:val="18"/>
              </w:rPr>
              <w:t>Request and limit</w:t>
            </w:r>
          </w:p>
        </w:tc>
        <w:tc>
          <w:tcPr>
            <w:tcW w:type="dxa" w:w="813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4F6"/>
          </w:tcPr>
          <w:p>
            <w:pPr>
              <w:spacing w:after="40" w:line="245" w:lineRule="auto"/>
            </w:pPr>
            <w:r>
              <w:rPr>
                <w:b w:val="0"/>
                <w:color w:val="000000"/>
                <w:sz w:val="18"/>
              </w:rPr>
              <w:t>129,771,332 bytes versus 33,554,432 bytes; approximately 3.87 times the permitted size.</w:t>
            </w:r>
          </w:p>
        </w:tc>
      </w:tr>
      <w:tr>
        <w:trPr>
          <w:cantSplit/>
        </w:trPr>
        <w:tc>
          <w:tcPr>
            <w:tcW w:type="dxa" w:w="194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b w:val="0"/>
                <w:color w:val="000000"/>
                <w:sz w:val="18"/>
              </w:rPr>
              <w:t>Client outcome</w:t>
            </w:r>
          </w:p>
        </w:tc>
        <w:tc>
          <w:tcPr>
            <w:tcW w:type="dxa" w:w="813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b w:val="0"/>
                <w:color w:val="000000"/>
                <w:sz w:val="18"/>
              </w:rPr>
              <w:t>POST /api/admin/ingest returned 502 after 18,212,902 ms. [S1]</w:t>
            </w:r>
          </w:p>
        </w:tc>
      </w:tr>
    </w:tbl>
    <w:p/>
    <w:p>
      <w:pPr>
        <w:pStyle w:val="Heading2"/>
      </w:pPr>
      <w:r>
        <w:t>Relevant supplied log excerpts dated 16 October 2026 UTC</w:t>
      </w:r>
    </w:p>
    <w:p>
      <w:pPr>
        <w:pStyle w:val="Code"/>
        <w:spacing w:after="140"/>
      </w:pPr>
      <w:r>
        <w:t>01:49:23.092Z  Points size: 8822</w:t>
        <w:br/>
        <w:t>01:49:24.031Z  Downstream service call failed status=400</w:t>
        <w:br/>
        <w:t>Payload error: JSON payload (129771332 bytes) is larger</w:t>
        <w:br/>
        <w:t>than allowed (limit: 33554432 bytes).</w:t>
        <w:br/>
        <w:t>01:49:24.061Z  Completed request method=POST</w:t>
        <w:br/>
        <w:t>path=/api/admin/ingest status=502 durationMs=18212902</w:t>
      </w:r>
    </w:p>
    <w:p>
      <w:r>
        <w:t>The excerpt shortens log prefixes and wraps the error for readability. Earlier supplied logs show successful Ollama /api/embed responses. The final point count establishes that embedding completed before Qdrant rejected the upload. [S1]</w:t>
      </w:r>
    </w:p>
    <w:p>
      <w:pPr>
        <w:pStyle w:val="Heading1"/>
      </w:pPr>
      <w:r>
        <w:t>4 Root Cause Analysis</w:t>
      </w:r>
    </w:p>
    <w:p>
      <w:r>
        <w:t>Confirmed cause. The deployed incident path accumulated all vectors and payloads for a file, then issued one upload. The request exceeded the effective server limit. The current Git baseline contains a five-chunk testing cap, while the earlier uncapped intermediate version and the VM logs establish the full-file request behavior that failed. These are distinct revisions. [S1, S2]</w:t>
      </w:r>
    </w:p>
    <w:p>
      <w:r>
        <w:t>Request composition. Source rows become multiple sections, sections become overlapping chunks, and each chunk becomes one point. Every point repeats metadata and carries text plus a JSON array of 768 floating-point embedding values. The combined serialized body reached approximately 124 MiB. The JSON request size is not the same as Qdrant disk usage or raw vector memory. [S2, S4, S6]</w:t>
      </w:r>
    </w:p>
    <w:p>
      <w:r>
        <w:t>Not established as causes. The logs do not show a full disk, failed SSH session, model-alignment warning, or reverse-proxy timeout causing this rejection. The precise origin of the 32 MiB setting is not present in Compose; its effective value is confirmed by Qdrant’s error. A count-based 100-point batch is expected to be much smaller, but is not a strict byte-size guarantee. [S1, S6]</w:t>
      </w:r>
    </w:p>
    <w:p>
      <w:r>
        <w:br w:type="page"/>
      </w:r>
    </w:p>
    <w:p>
      <w:pPr>
        <w:pStyle w:val="Heading1"/>
      </w:pPr>
      <w:r>
        <w:t>5 Implemented Resolution</w:t>
      </w:r>
    </w:p>
    <w:p>
      <w:r>
        <w:t>The existing local change modifies backend/src/main/java/com/sec/rag/rag/QdrantService.java. It adds UPSERT_BATCH_SIZE = 100, changes upsert(List&lt;ChunkedSection&gt;) to upload incrementally, and extracts uploadBatch(List&lt;Map&lt;String, Object&gt;&gt;). No Qdrant configuration change or request-limit increase is included. [S2]</w:t>
      </w:r>
    </w:p>
    <w:p>
      <w:pPr>
        <w:pStyle w:val="Heading2"/>
      </w:pPr>
      <w:r>
        <w:t>Before and after</w:t>
      </w:r>
    </w:p>
    <w:tbl>
      <w:tblPr>
        <w:tblW w:type="auto" w:w="0"/>
        <w:jc w:val="center"/>
        <w:tblLayout w:type="fixed"/>
        <w:tblLook w:firstColumn="1" w:firstRow="1" w:lastColumn="0" w:lastRow="0" w:noHBand="0" w:noVBand="1" w:val="04A0"/>
      </w:tblPr>
      <w:tblGrid>
        <w:gridCol w:w="1584"/>
        <w:gridCol w:w="4176"/>
        <w:gridCol w:w="4320"/>
      </w:tblGrid>
      <w:tr>
        <w:trPr>
          <w:tblHeader/>
          <w:cantSplit/>
        </w:trPr>
        <w:tc>
          <w:tcPr>
            <w:tcW w:type="dxa" w:w="158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17364D"/>
          </w:tcPr>
          <w:p>
            <w:pPr>
              <w:spacing w:after="40" w:line="245" w:lineRule="auto"/>
            </w:pPr>
            <w:r>
              <w:rPr>
                <w:b/>
                <w:color w:val="FFFFFF"/>
                <w:sz w:val="18"/>
              </w:rPr>
              <w:t>Behavior</w:t>
            </w:r>
          </w:p>
        </w:tc>
        <w:tc>
          <w:tcPr>
            <w:tcW w:type="dxa" w:w="41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17364D"/>
          </w:tcPr>
          <w:p>
            <w:pPr>
              <w:spacing w:after="40" w:line="245" w:lineRule="auto"/>
            </w:pPr>
            <w:r>
              <w:rPr>
                <w:b/>
                <w:color w:val="FFFFFF"/>
                <w:sz w:val="18"/>
              </w:rPr>
              <w:t>Incident implementation</w:t>
            </w:r>
          </w:p>
        </w:tc>
        <w:tc>
          <w:tcPr>
            <w:tcW w:type="dxa" w:w="432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17364D"/>
          </w:tcPr>
          <w:p>
            <w:pPr>
              <w:spacing w:after="40" w:line="245" w:lineRule="auto"/>
            </w:pPr>
            <w:r>
              <w:rPr>
                <w:b/>
                <w:color w:val="FFFFFF"/>
                <w:sz w:val="18"/>
              </w:rPr>
              <w:t>Current local implementation</w:t>
            </w:r>
          </w:p>
        </w:tc>
      </w:tr>
      <w:tr>
        <w:trPr>
          <w:cantSplit/>
        </w:trPr>
        <w:tc>
          <w:tcPr>
            <w:tcW w:type="dxa" w:w="158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b w:val="0"/>
                <w:color w:val="000000"/>
                <w:sz w:val="18"/>
              </w:rPr>
              <w:t>Embedding</w:t>
            </w:r>
          </w:p>
        </w:tc>
        <w:tc>
          <w:tcPr>
            <w:tcW w:type="dxa" w:w="41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b w:val="0"/>
                <w:color w:val="000000"/>
                <w:sz w:val="18"/>
              </w:rPr>
              <w:t>Sequential; all results accumulated</w:t>
            </w:r>
          </w:p>
        </w:tc>
        <w:tc>
          <w:tcPr>
            <w:tcW w:type="dxa" w:w="432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b w:val="0"/>
                <w:color w:val="000000"/>
                <w:sz w:val="18"/>
              </w:rPr>
              <w:t>Sequential; buffer uploaded every 100 points</w:t>
            </w:r>
          </w:p>
        </w:tc>
      </w:tr>
      <w:tr>
        <w:trPr>
          <w:cantSplit/>
        </w:trPr>
        <w:tc>
          <w:tcPr>
            <w:tcW w:type="dxa" w:w="158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4F6"/>
          </w:tcPr>
          <w:p>
            <w:pPr>
              <w:spacing w:after="40" w:line="245" w:lineRule="auto"/>
            </w:pPr>
            <w:r>
              <w:rPr>
                <w:b w:val="0"/>
                <w:color w:val="000000"/>
                <w:sz w:val="18"/>
              </w:rPr>
              <w:t>Qdrant writes</w:t>
            </w:r>
          </w:p>
        </w:tc>
        <w:tc>
          <w:tcPr>
            <w:tcW w:type="dxa" w:w="41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4F6"/>
          </w:tcPr>
          <w:p>
            <w:pPr>
              <w:spacing w:after="40" w:line="245" w:lineRule="auto"/>
            </w:pPr>
            <w:r>
              <w:rPr>
                <w:b w:val="0"/>
                <w:color w:val="000000"/>
                <w:sz w:val="18"/>
              </w:rPr>
              <w:t>One request for 8,822 points</w:t>
            </w:r>
          </w:p>
        </w:tc>
        <w:tc>
          <w:tcPr>
            <w:tcW w:type="dxa" w:w="432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4F6"/>
          </w:tcPr>
          <w:p>
            <w:pPr>
              <w:spacing w:after="40" w:line="245" w:lineRule="auto"/>
            </w:pPr>
            <w:r>
              <w:rPr>
                <w:b w:val="0"/>
                <w:color w:val="000000"/>
                <w:sz w:val="18"/>
              </w:rPr>
              <w:t>Up to 100 points per request; final partial batch flushed</w:t>
            </w:r>
          </w:p>
        </w:tc>
      </w:tr>
      <w:tr>
        <w:trPr>
          <w:cantSplit/>
        </w:trPr>
        <w:tc>
          <w:tcPr>
            <w:tcW w:type="dxa" w:w="158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b w:val="0"/>
                <w:color w:val="000000"/>
                <w:sz w:val="18"/>
              </w:rPr>
              <w:t>Progress visibility</w:t>
            </w:r>
          </w:p>
        </w:tc>
        <w:tc>
          <w:tcPr>
            <w:tcW w:type="dxa" w:w="41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b w:val="0"/>
                <w:color w:val="000000"/>
                <w:sz w:val="18"/>
              </w:rPr>
              <w:t>No intermediate upload progress</w:t>
            </w:r>
          </w:p>
        </w:tc>
        <w:tc>
          <w:tcPr>
            <w:tcW w:type="dxa" w:w="432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b w:val="0"/>
                <w:color w:val="000000"/>
                <w:sz w:val="18"/>
              </w:rPr>
              <w:t>Logs uploaded count and elapsed milliseconds after each successful batch</w:t>
            </w:r>
          </w:p>
        </w:tc>
      </w:tr>
      <w:tr>
        <w:trPr>
          <w:cantSplit/>
        </w:trPr>
        <w:tc>
          <w:tcPr>
            <w:tcW w:type="dxa" w:w="158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4F6"/>
          </w:tcPr>
          <w:p>
            <w:pPr>
              <w:spacing w:after="40" w:line="245" w:lineRule="auto"/>
            </w:pPr>
            <w:r>
              <w:rPr>
                <w:b w:val="0"/>
                <w:color w:val="000000"/>
                <w:sz w:val="18"/>
              </w:rPr>
              <w:t>Memory</w:t>
            </w:r>
          </w:p>
        </w:tc>
        <w:tc>
          <w:tcPr>
            <w:tcW w:type="dxa" w:w="41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4F6"/>
          </w:tcPr>
          <w:p>
            <w:pPr>
              <w:spacing w:after="40" w:line="245" w:lineRule="auto"/>
            </w:pPr>
            <w:r>
              <w:rPr>
                <w:b w:val="0"/>
                <w:color w:val="000000"/>
                <w:sz w:val="18"/>
              </w:rPr>
              <w:t>All point vectors retained until upload</w:t>
            </w:r>
          </w:p>
        </w:tc>
        <w:tc>
          <w:tcPr>
            <w:tcW w:type="dxa" w:w="432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4F6"/>
          </w:tcPr>
          <w:p>
            <w:pPr>
              <w:spacing w:after="40" w:line="245" w:lineRule="auto"/>
            </w:pPr>
            <w:r>
              <w:rPr>
                <w:b w:val="0"/>
                <w:color w:val="000000"/>
                <w:sz w:val="18"/>
              </w:rPr>
              <w:t>At most 100 constructed points buffered; source records and chunks still held per file</w:t>
            </w:r>
          </w:p>
        </w:tc>
      </w:tr>
    </w:tbl>
    <w:p/>
    <w:p>
      <w:pPr>
        <w:pStyle w:val="Heading2"/>
      </w:pPr>
      <w:r>
        <w:t>Relevant implementation excerpt</w:t>
      </w:r>
    </w:p>
    <w:p>
      <w:pPr>
        <w:pStyle w:val="Code"/>
        <w:spacing w:after="140"/>
      </w:pPr>
      <w:r>
        <w:t>private static final int UPSERT_BATCH_SIZE = 100;</w:t>
        <w:br/>
        <w:t>// Within the embedding loop, after adding a point:</w:t>
        <w:br/>
        <w:t>if (points.size() == UPSERT_BATCH_SIZE) {</w:t>
        <w:br/>
        <w:t xml:space="preserve">    uploadBatch(points);</w:t>
        <w:br/>
        <w:t xml:space="preserve">    uploaded += points.size();</w:t>
        <w:br/>
        <w:t xml:space="preserve">    points.clear();</w:t>
        <w:br/>
        <w:t>}</w:t>
        <w:br/>
        <w:t>// After the loop:</w:t>
        <w:br/>
        <w:t>if (!points.isEmpty()) {</w:t>
        <w:br/>
        <w:t xml:space="preserve">    uploadBatch(points);</w:t>
        <w:br/>
        <w:t xml:space="preserve">    uploaded += points.size();</w:t>
        <w:br/>
        <w:t>}</w:t>
      </w:r>
    </w:p>
    <w:p>
      <w:r>
        <w:t>The actual code also logs each completed batch. uploadBatch uses wait=true and a 30-second client timeout. The buffer is cleared only after the blocking request succeeds. The five-chunk local testing option is preserved as a comment and remains disabled. [S2]</w:t>
      </w:r>
    </w:p>
    <w:p>
      <w:r>
        <w:t>For 8,822 chunks, the expected partition is 88 batches of 100 and one batch of 22. Scaling the failed body by average point size suggests about 1.40 MiB per 100 points; that is an estimate, not a measured maximum. Text and metadata vary by point. [S1, S2]</w:t>
      </w:r>
    </w:p>
    <w:p>
      <w:r>
        <w:t>The regression test in backend/src/test/java/com/sec/rag/rag/QdrantServiceTests.java uses a mock WebClient exchange and fake two-dimensional embeddings. It checks batch sizes 100, 100, 5; first upload before all embeddings finish; ordered IDs without omissions; and empty input. It does not contact real Qdrant or Ollama or validate 768-dimensional request byte sizes. [S7]</w:t>
      </w:r>
    </w:p>
    <w:p>
      <w:r>
        <w:br w:type="page"/>
      </w:r>
    </w:p>
    <w:p>
      <w:pPr>
        <w:pStyle w:val="Heading1"/>
      </w:pPr>
      <w:r>
        <w:t>6 Validation and Retesting Plan</w:t>
      </w:r>
    </w:p>
    <w:p>
      <w:r>
        <w:t>Run these checks on the VM from the FilingLens project directory. Save the baseline before starting a new ingestion. The commands below use the repository’s local-data mode; select source=blob only when validating blob ingestion. Do not start overlapping runs. [S3, S6, S8]</w:t>
      </w:r>
    </w:p>
    <w:p>
      <w:pPr>
        <w:pStyle w:val="Heading2"/>
      </w:pPr>
      <w:r>
        <w:t>A Deploy and verify startup</w:t>
      </w:r>
    </w:p>
    <w:p>
      <w:pPr>
        <w:pStyle w:val="Code"/>
        <w:spacing w:after="140"/>
      </w:pPr>
      <w:r>
        <w:t>docker compose up -d --build backend</w:t>
        <w:br/>
        <w:t>docker compose ps</w:t>
        <w:br/>
        <w:t>curl -fsS http://localhost:8080/actuator/health</w:t>
        <w:br/>
        <w:t>curl -fsS http://localhost:6333/</w:t>
        <w:br/>
        <w:t>docker compose exec ollama ollama list</w:t>
      </w:r>
    </w:p>
    <w:p>
      <w:r>
        <w:t>Confirm backend startup, healthy HTTP responses, the Qdrant version, and availability of nomic-embed-text and llama3.2:1b or the configured overrides. depends_on controls startup order but does not prove downstream readiness. The Docker build skips tests; run the test suite separately where Maven dependencies are available. [S6]</w:t>
      </w:r>
    </w:p>
    <w:p>
      <w:pPr>
        <w:pStyle w:val="Heading2"/>
      </w:pPr>
      <w:r>
        <w:t>B Capture baseline and input scope</w:t>
      </w:r>
    </w:p>
    <w:p>
      <w:pPr>
        <w:pStyle w:val="Code"/>
        <w:spacing w:after="140"/>
      </w:pPr>
      <w:r>
        <w:t>ls -lh data/*.parquet</w:t>
        <w:br/>
        <w:t>curl -fsS http://localhost:6333/collections/sec_10k_sections</w:t>
        <w:br/>
        <w:t>curl -fsS -X POST \</w:t>
        <w:br/>
        <w:t xml:space="preserve">  http://localhost:6333/collections/sec_10k_sections/points/count \</w:t>
        <w:br/>
        <w:t xml:space="preserve">  -H "Content-Type: application/json" -d '{"exact":true}' \</w:t>
        <w:br/>
        <w:t xml:space="preserve">  &gt; qdrant-count-before.json</w:t>
        <w:br/>
        <w:t>df -h ./qdrant_storage</w:t>
        <w:br/>
        <w:t>sudo du -sh ./qdrant_storage</w:t>
        <w:br/>
        <w:t>docker stats --no-stream</w:t>
      </w:r>
    </w:p>
    <w:p>
      <w:r>
        <w:t>If the collection is not yet present, record that state and use zero as the baseline; ensureCollectionExists creates it during ingestion. Confirm the input folder contains only the intended files because local ingestion processes every .parquet file directly in that directory. Record model version, input identity, chunk settings, collection and start time. [S2–S6]</w:t>
      </w:r>
    </w:p>
    <w:p>
      <w:pPr>
        <w:pStyle w:val="Heading2"/>
      </w:pPr>
      <w:r>
        <w:t>C Start one background ingestion and retain its result</w:t>
      </w:r>
    </w:p>
    <w:p>
      <w:pPr>
        <w:pStyle w:val="Code"/>
        <w:spacing w:after="140"/>
      </w:pPr>
      <w:r>
        <w:t>nohup curl -sS --fail-with-body \</w:t>
        <w:br/>
        <w:t xml:space="preserve">  -X POST 'http://localhost:8080/api/admin/ingest?source=local' \</w:t>
        <w:br/>
        <w:t xml:space="preserve">  -o ingestion-response.json -w '\nHTTP %{http_code}\n' \</w:t>
        <w:br/>
        <w:t xml:space="preserve">  &gt; ingestion-client.log 2&gt;&amp;1 &lt; /dev/null &amp;</w:t>
        <w:br/>
        <w:t>docker compose logs -f --tail=50 backend</w:t>
      </w:r>
    </w:p>
    <w:p>
      <w:r>
        <w:t>Expect starting chunks=8822 batchSize=100 for the same file and settings, then uploaded=100/8822 and increasing counts. Follow Ollama logs separately if needed. Completion requires final backend success logs and a response with success=true; HTTP 200 alone is insufficient because ingestion can return an unsuccessful response for handled IO errors. A client disconnect alone does not establish job success or failure. [S2, S3, S8]</w:t>
      </w:r>
    </w:p>
    <w:p>
      <w:r>
        <w:br w:type="page"/>
      </w:r>
    </w:p>
    <w:p>
      <w:pPr>
        <w:pStyle w:val="Heading1"/>
      </w:pPr>
      <w:r>
        <w:t>6 Validation and Retesting Plan Continued</w:t>
      </w:r>
    </w:p>
    <w:p>
      <w:pPr>
        <w:pStyle w:val="Heading2"/>
      </w:pPr>
      <w:r>
        <w:t>D Verify persisted points and retrieval</w:t>
      </w:r>
    </w:p>
    <w:p>
      <w:pPr>
        <w:pStyle w:val="Code"/>
        <w:spacing w:after="140"/>
      </w:pPr>
      <w:r>
        <w:t>curl -fsS -X POST \</w:t>
        <w:br/>
        <w:t xml:space="preserve">  http://localhost:6333/collections/sec_10k_sections/points/count \</w:t>
        <w:br/>
        <w:t xml:space="preserve">  -H "Content-Type: application/json" -d '{"exact":true}' \</w:t>
        <w:br/>
        <w:t xml:space="preserve">  &gt; qdrant-count-after.json</w:t>
        <w:br/>
        <w:t>curl -fsS -X POST \</w:t>
        <w:br/>
        <w:t xml:space="preserve">  http://localhost:6333/collections/sec_10k_sections/points/scroll \</w:t>
        <w:br/>
        <w:t xml:space="preserve">  -H "Content-Type: application/json" \</w:t>
        <w:br/>
        <w:t xml:space="preserve">  -d '{"limit":5,"with_payload":true,"with_vector":true}'</w:t>
      </w:r>
    </w:p>
    <w:p>
      <w:r>
        <w:t>Compare exact point counts, inspect 768-value vectors and all payload fields, and confirm multiple companies across the run. The logged 8,822 points are the expected run output, not a verified post-fix collection count. Existing IDs can be overwritten, so do not assume the count delta must equal 8,822. In a clean isolated collection with only this input, 8,822 unique IDs is the acceptance target after confirming source-ID uniqueness. [S1, S2, S4]</w:t>
      </w:r>
    </w:p>
    <w:p>
      <w:r>
        <w:t>Use a company value copied exactly from a stored payload and its stored year. Run a chat request and inspect returned sources and factual grounding, not just HTTP success. [S8]</w:t>
      </w:r>
    </w:p>
    <w:p>
      <w:pPr>
        <w:pStyle w:val="Code"/>
        <w:spacing w:after="140"/>
      </w:pPr>
      <w:r>
        <w:t>curl -sS -X POST http://localhost:8080/api/chat \</w:t>
        <w:br/>
        <w:t xml:space="preserve">  -H "Content-Type: application/json" \</w:t>
        <w:br/>
        <w:t xml:space="preserve">  -d '{"question":"Summarize the main market risks.",</w:t>
        <w:br/>
        <w:t xml:space="preserve">       "company":"REPLACE_WITH_STORED_COMPANY",</w:t>
        <w:br/>
        <w:t xml:space="preserve">       "year":2022,"topK":5}'</w:t>
      </w:r>
    </w:p>
    <w:p>
      <w:pPr>
        <w:pStyle w:val="Heading2"/>
      </w:pPr>
      <w:r>
        <w:t>E Validate size limits and failure behavior</w:t>
      </w:r>
    </w:p>
    <w:p>
      <w:r>
        <w:t>Confirm all batch uploads succeed without the prior payload-size error. For quantitative verification, use a controlled request-capture test or serialization instrumentation to record each exact UTF-8 JSON body length. Require every body to be below 33,554,432 bytes with headroom. Current progress logs record point counts, not byte counts; the existing mock test does not measure this requirement. Include long-text and metadata outliers in the test.</w:t>
      </w:r>
    </w:p>
    <w:p>
      <w:r>
        <w:t>In an isolated environment, interrupt Qdrant availability or simulate an HTTP error after a successful batch. Verify the error is visible, earlier batches remain persisted, and no final success is logged. Do not disrupt the active ingestion to perform this test. Automatic retries and durable checkpoints are not implemented. [S2, S8]</w:t>
      </w:r>
    </w:p>
    <w:p>
      <w:pPr>
        <w:pStyle w:val="Heading2"/>
      </w:pPr>
      <w:r>
        <w:t>F Verify duplicates and performance</w:t>
      </w:r>
    </w:p>
    <w:p>
      <w:r>
        <w:t>Scroll all pages using next_page_offset and compare unique point IDs and logical keys including source, company, year, section, filing date and chunk position. A stable local-file rerun should overwrite the same IDs and leave the count unchanged when inputs and configuration are identical. Blob reruns require a separate duplicate test because random temporary filenames enter the ID input. [S4, S5]</w:t>
      </w:r>
    </w:p>
    <w:p>
      <w:r>
        <w:t>Record backend and Ollama memory and CPU, batch latency, throughput, storage growth and total duration. Expect incremental points, but do not assume the original five-hour duration or a specific memory ceiling. Accept only measured results and check logs for timeouts, embedding errors and downstream HTTP failures.</w:t>
      </w:r>
    </w:p>
    <w:p>
      <w:r>
        <w:br w:type="page"/>
      </w:r>
    </w:p>
    <w:p>
      <w:pPr>
        <w:pStyle w:val="Heading1"/>
      </w:pPr>
      <w:r>
        <w:t>7 Test Results</w:t>
      </w:r>
    </w:p>
    <w:p>
      <w:r>
        <w:t>Local results below come from existing Surefire reports, not a new VM execution. All deployment and end-to-end acceptance checks remain Pending. [S7]</w:t>
      </w:r>
    </w:p>
    <w:tbl>
      <w:tblPr>
        <w:tblW w:type="auto" w:w="0"/>
        <w:jc w:val="center"/>
        <w:tblLayout w:type="fixed"/>
        <w:tblLook w:firstColumn="1" w:firstRow="1" w:lastColumn="0" w:lastRow="0" w:noHBand="0" w:noVBand="1" w:val="04A0"/>
      </w:tblPr>
      <w:tblGrid>
        <w:gridCol w:w="2088"/>
        <w:gridCol w:w="3024"/>
        <w:gridCol w:w="3528"/>
        <w:gridCol w:w="1440"/>
      </w:tblGrid>
      <w:tr>
        <w:trPr>
          <w:tblHeader/>
          <w:cantSplit/>
        </w:trPr>
        <w:tc>
          <w:tcPr>
            <w:tcW w:type="dxa" w:w="20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17364D"/>
          </w:tcPr>
          <w:p>
            <w:pPr>
              <w:spacing w:after="40" w:line="245" w:lineRule="auto"/>
            </w:pPr>
            <w:r>
              <w:rPr>
                <w:b/>
                <w:color w:val="FFFFFF"/>
                <w:sz w:val="18"/>
              </w:rPr>
              <w:t>Test Case</w:t>
            </w:r>
          </w:p>
        </w:tc>
        <w:tc>
          <w:tcPr>
            <w:tcW w:type="dxa" w:w="302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17364D"/>
          </w:tcPr>
          <w:p>
            <w:pPr>
              <w:spacing w:after="40" w:line="245" w:lineRule="auto"/>
            </w:pPr>
            <w:r>
              <w:rPr>
                <w:b/>
                <w:color w:val="FFFFFF"/>
                <w:sz w:val="18"/>
              </w:rPr>
              <w:t>Expected Result</w:t>
            </w:r>
          </w:p>
        </w:tc>
        <w:tc>
          <w:tcPr>
            <w:tcW w:type="dxa" w:w="35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17364D"/>
          </w:tcPr>
          <w:p>
            <w:pPr>
              <w:spacing w:after="40" w:line="245" w:lineRule="auto"/>
            </w:pPr>
            <w:r>
              <w:rPr>
                <w:b/>
                <w:color w:val="FFFFFF"/>
                <w:sz w:val="18"/>
              </w:rPr>
              <w:t>Actual Result</w:t>
            </w:r>
          </w:p>
        </w:tc>
        <w:tc>
          <w:tcPr>
            <w:tcW w:type="dxa" w:w="144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17364D"/>
          </w:tcPr>
          <w:p>
            <w:pPr>
              <w:spacing w:after="40" w:line="245" w:lineRule="auto"/>
            </w:pPr>
            <w:r>
              <w:rPr>
                <w:b/>
                <w:color w:val="FFFFFF"/>
                <w:sz w:val="18"/>
              </w:rPr>
              <w:t>Status</w:t>
            </w:r>
          </w:p>
        </w:tc>
      </w:tr>
      <w:tr>
        <w:trPr>
          <w:cantSplit/>
        </w:trPr>
        <w:tc>
          <w:tcPr>
            <w:tcW w:type="dxa" w:w="20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b w:val="0"/>
                <w:color w:val="000000"/>
                <w:sz w:val="18"/>
              </w:rPr>
              <w:t>Local batch boundary</w:t>
            </w:r>
          </w:p>
        </w:tc>
        <w:tc>
          <w:tcPr>
            <w:tcW w:type="dxa" w:w="302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b w:val="0"/>
                <w:color w:val="000000"/>
                <w:sz w:val="18"/>
              </w:rPr>
              <w:t>205 points split 100 / 100 / 5; no omissions</w:t>
            </w:r>
          </w:p>
        </w:tc>
        <w:tc>
          <w:tcPr>
            <w:tcW w:type="dxa" w:w="35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b w:val="0"/>
                <w:color w:val="000000"/>
                <w:sz w:val="18"/>
              </w:rPr>
              <w:t>Existing QdrantServiceTests report: 1 test, 0 failures, 0 errors</w:t>
            </w:r>
          </w:p>
        </w:tc>
        <w:tc>
          <w:tcPr>
            <w:tcW w:type="dxa" w:w="144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b w:val="0"/>
                <w:color w:val="000000"/>
                <w:sz w:val="18"/>
              </w:rPr>
              <w:t>Passed locally</w:t>
            </w:r>
          </w:p>
        </w:tc>
      </w:tr>
      <w:tr>
        <w:trPr>
          <w:cantSplit/>
        </w:trPr>
        <w:tc>
          <w:tcPr>
            <w:tcW w:type="dxa" w:w="20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4F6"/>
          </w:tcPr>
          <w:p>
            <w:pPr>
              <w:spacing w:after="40" w:line="245" w:lineRule="auto"/>
            </w:pPr>
            <w:r>
              <w:rPr>
                <w:b w:val="0"/>
                <w:color w:val="000000"/>
                <w:sz w:val="18"/>
              </w:rPr>
              <w:t>Local application context</w:t>
            </w:r>
          </w:p>
        </w:tc>
        <w:tc>
          <w:tcPr>
            <w:tcW w:type="dxa" w:w="302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4F6"/>
          </w:tcPr>
          <w:p>
            <w:pPr>
              <w:spacing w:after="40" w:line="245" w:lineRule="auto"/>
            </w:pPr>
            <w:r>
              <w:rPr>
                <w:b w:val="0"/>
                <w:color w:val="000000"/>
                <w:sz w:val="18"/>
              </w:rPr>
              <w:t>Spring context loads</w:t>
            </w:r>
          </w:p>
        </w:tc>
        <w:tc>
          <w:tcPr>
            <w:tcW w:type="dxa" w:w="35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4F6"/>
          </w:tcPr>
          <w:p>
            <w:pPr>
              <w:spacing w:after="40" w:line="245" w:lineRule="auto"/>
            </w:pPr>
            <w:r>
              <w:rPr>
                <w:b w:val="0"/>
                <w:color w:val="000000"/>
                <w:sz w:val="18"/>
              </w:rPr>
              <w:t>Existing application test report: 1 test, 0 failures, 0 errors</w:t>
            </w:r>
          </w:p>
        </w:tc>
        <w:tc>
          <w:tcPr>
            <w:tcW w:type="dxa" w:w="144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4F6"/>
          </w:tcPr>
          <w:p>
            <w:pPr>
              <w:spacing w:after="40" w:line="245" w:lineRule="auto"/>
            </w:pPr>
            <w:r>
              <w:rPr>
                <w:b w:val="0"/>
                <w:color w:val="000000"/>
                <w:sz w:val="18"/>
              </w:rPr>
              <w:t>Passed locally</w:t>
            </w:r>
          </w:p>
        </w:tc>
      </w:tr>
      <w:tr>
        <w:trPr>
          <w:cantSplit/>
        </w:trPr>
        <w:tc>
          <w:tcPr>
            <w:tcW w:type="dxa" w:w="20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b w:val="0"/>
                <w:color w:val="000000"/>
                <w:sz w:val="18"/>
              </w:rPr>
              <w:t>VM deployment and startup</w:t>
            </w:r>
          </w:p>
        </w:tc>
        <w:tc>
          <w:tcPr>
            <w:tcW w:type="dxa" w:w="302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b w:val="0"/>
                <w:color w:val="000000"/>
                <w:sz w:val="18"/>
              </w:rPr>
              <w:t>Updated backend starts successfully</w:t>
            </w:r>
          </w:p>
        </w:tc>
        <w:tc>
          <w:tcPr>
            <w:tcW w:type="dxa" w:w="35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b w:val="0"/>
                <w:color w:val="000000"/>
                <w:sz w:val="18"/>
              </w:rPr>
              <w:t>Not executed for this report</w:t>
            </w:r>
          </w:p>
        </w:tc>
        <w:tc>
          <w:tcPr>
            <w:tcW w:type="dxa" w:w="144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b w:val="0"/>
                <w:color w:val="000000"/>
                <w:sz w:val="18"/>
              </w:rPr>
              <w:t>Pending</w:t>
            </w:r>
          </w:p>
        </w:tc>
      </w:tr>
      <w:tr>
        <w:trPr>
          <w:cantSplit/>
        </w:trPr>
        <w:tc>
          <w:tcPr>
            <w:tcW w:type="dxa" w:w="20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4F6"/>
          </w:tcPr>
          <w:p>
            <w:pPr>
              <w:spacing w:after="40" w:line="245" w:lineRule="auto"/>
            </w:pPr>
            <w:r>
              <w:rPr>
                <w:b w:val="0"/>
                <w:color w:val="000000"/>
                <w:sz w:val="18"/>
              </w:rPr>
              <w:t>Qdrant and model connectivity</w:t>
            </w:r>
          </w:p>
        </w:tc>
        <w:tc>
          <w:tcPr>
            <w:tcW w:type="dxa" w:w="302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4F6"/>
          </w:tcPr>
          <w:p>
            <w:pPr>
              <w:spacing w:after="40" w:line="245" w:lineRule="auto"/>
            </w:pPr>
            <w:r>
              <w:rPr>
                <w:b w:val="0"/>
                <w:color w:val="000000"/>
                <w:sz w:val="18"/>
              </w:rPr>
              <w:t>Qdrant responds; configured models available</w:t>
            </w:r>
          </w:p>
        </w:tc>
        <w:tc>
          <w:tcPr>
            <w:tcW w:type="dxa" w:w="35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4F6"/>
          </w:tcPr>
          <w:p>
            <w:pPr>
              <w:spacing w:after="40" w:line="245" w:lineRule="auto"/>
            </w:pPr>
            <w:r>
              <w:rPr>
                <w:b w:val="0"/>
                <w:color w:val="000000"/>
                <w:sz w:val="18"/>
              </w:rPr>
              <w:t>Post-fix checks not executed</w:t>
            </w:r>
          </w:p>
        </w:tc>
        <w:tc>
          <w:tcPr>
            <w:tcW w:type="dxa" w:w="144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4F6"/>
          </w:tcPr>
          <w:p>
            <w:pPr>
              <w:spacing w:after="40" w:line="245" w:lineRule="auto"/>
            </w:pPr>
            <w:r>
              <w:rPr>
                <w:b w:val="0"/>
                <w:color w:val="000000"/>
                <w:sz w:val="18"/>
              </w:rPr>
              <w:t>Pending</w:t>
            </w:r>
          </w:p>
        </w:tc>
      </w:tr>
      <w:tr>
        <w:trPr>
          <w:cantSplit/>
        </w:trPr>
        <w:tc>
          <w:tcPr>
            <w:tcW w:type="dxa" w:w="20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b w:val="0"/>
                <w:color w:val="000000"/>
                <w:sz w:val="18"/>
              </w:rPr>
              <w:t>Real upload byte sizes</w:t>
            </w:r>
          </w:p>
        </w:tc>
        <w:tc>
          <w:tcPr>
            <w:tcW w:type="dxa" w:w="302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b w:val="0"/>
                <w:color w:val="000000"/>
                <w:sz w:val="18"/>
              </w:rPr>
              <w:t>Every JSON body below 32 MiB</w:t>
            </w:r>
          </w:p>
        </w:tc>
        <w:tc>
          <w:tcPr>
            <w:tcW w:type="dxa" w:w="35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b w:val="0"/>
                <w:color w:val="000000"/>
                <w:sz w:val="18"/>
              </w:rPr>
              <w:t>Estimated average only; bytes not captured</w:t>
            </w:r>
          </w:p>
        </w:tc>
        <w:tc>
          <w:tcPr>
            <w:tcW w:type="dxa" w:w="144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b w:val="0"/>
                <w:color w:val="000000"/>
                <w:sz w:val="18"/>
              </w:rPr>
              <w:t>Pending</w:t>
            </w:r>
          </w:p>
        </w:tc>
      </w:tr>
      <w:tr>
        <w:trPr>
          <w:cantSplit/>
        </w:trPr>
        <w:tc>
          <w:tcPr>
            <w:tcW w:type="dxa" w:w="20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4F6"/>
          </w:tcPr>
          <w:p>
            <w:pPr>
              <w:spacing w:after="40" w:line="245" w:lineRule="auto"/>
            </w:pPr>
            <w:r>
              <w:rPr>
                <w:b w:val="0"/>
                <w:color w:val="000000"/>
                <w:sz w:val="18"/>
              </w:rPr>
              <w:t>Full 2022 ingestion</w:t>
            </w:r>
          </w:p>
        </w:tc>
        <w:tc>
          <w:tcPr>
            <w:tcW w:type="dxa" w:w="302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4F6"/>
          </w:tcPr>
          <w:p>
            <w:pPr>
              <w:spacing w:after="40" w:line="245" w:lineRule="auto"/>
            </w:pPr>
            <w:r>
              <w:rPr>
                <w:b w:val="0"/>
                <w:color w:val="000000"/>
                <w:sz w:val="18"/>
              </w:rPr>
              <w:t>All intended batches acknowledged; success=true</w:t>
            </w:r>
          </w:p>
        </w:tc>
        <w:tc>
          <w:tcPr>
            <w:tcW w:type="dxa" w:w="35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4F6"/>
          </w:tcPr>
          <w:p>
            <w:pPr>
              <w:spacing w:after="40" w:line="245" w:lineRule="auto"/>
            </w:pPr>
            <w:r>
              <w:rPr>
                <w:b w:val="0"/>
                <w:color w:val="000000"/>
                <w:sz w:val="18"/>
              </w:rPr>
              <w:t>No verified post-fix run</w:t>
            </w:r>
          </w:p>
        </w:tc>
        <w:tc>
          <w:tcPr>
            <w:tcW w:type="dxa" w:w="144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4F6"/>
          </w:tcPr>
          <w:p>
            <w:pPr>
              <w:spacing w:after="40" w:line="245" w:lineRule="auto"/>
            </w:pPr>
            <w:r>
              <w:rPr>
                <w:b w:val="0"/>
                <w:color w:val="000000"/>
                <w:sz w:val="18"/>
              </w:rPr>
              <w:t>Pending</w:t>
            </w:r>
          </w:p>
        </w:tc>
      </w:tr>
      <w:tr>
        <w:trPr>
          <w:cantSplit/>
        </w:trPr>
        <w:tc>
          <w:tcPr>
            <w:tcW w:type="dxa" w:w="20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b w:val="0"/>
                <w:color w:val="000000"/>
                <w:sz w:val="18"/>
              </w:rPr>
              <w:t>Exact point reconciliation</w:t>
            </w:r>
          </w:p>
        </w:tc>
        <w:tc>
          <w:tcPr>
            <w:tcW w:type="dxa" w:w="302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b w:val="0"/>
                <w:color w:val="000000"/>
                <w:sz w:val="18"/>
              </w:rPr>
              <w:t>Baseline and final counts explained by unique IDs</w:t>
            </w:r>
          </w:p>
        </w:tc>
        <w:tc>
          <w:tcPr>
            <w:tcW w:type="dxa" w:w="35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b w:val="0"/>
                <w:color w:val="000000"/>
                <w:sz w:val="18"/>
              </w:rPr>
              <w:t>Post-fix counts not captured</w:t>
            </w:r>
          </w:p>
        </w:tc>
        <w:tc>
          <w:tcPr>
            <w:tcW w:type="dxa" w:w="144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b w:val="0"/>
                <w:color w:val="000000"/>
                <w:sz w:val="18"/>
              </w:rPr>
              <w:t>Pending</w:t>
            </w:r>
          </w:p>
        </w:tc>
      </w:tr>
      <w:tr>
        <w:trPr>
          <w:cantSplit/>
        </w:trPr>
        <w:tc>
          <w:tcPr>
            <w:tcW w:type="dxa" w:w="20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4F6"/>
          </w:tcPr>
          <w:p>
            <w:pPr>
              <w:spacing w:after="40" w:line="245" w:lineRule="auto"/>
            </w:pPr>
            <w:r>
              <w:rPr>
                <w:b w:val="0"/>
                <w:color w:val="000000"/>
                <w:sz w:val="18"/>
              </w:rPr>
              <w:t>Payloads and dimensions</w:t>
            </w:r>
          </w:p>
        </w:tc>
        <w:tc>
          <w:tcPr>
            <w:tcW w:type="dxa" w:w="302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4F6"/>
          </w:tcPr>
          <w:p>
            <w:pPr>
              <w:spacing w:after="40" w:line="245" w:lineRule="auto"/>
            </w:pPr>
            <w:r>
              <w:rPr>
                <w:b w:val="0"/>
                <w:color w:val="000000"/>
                <w:sz w:val="18"/>
              </w:rPr>
              <w:t>Correct metadata and 768-dimensional vectors</w:t>
            </w:r>
          </w:p>
        </w:tc>
        <w:tc>
          <w:tcPr>
            <w:tcW w:type="dxa" w:w="35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4F6"/>
          </w:tcPr>
          <w:p>
            <w:pPr>
              <w:spacing w:after="40" w:line="245" w:lineRule="auto"/>
            </w:pPr>
            <w:r>
              <w:rPr>
                <w:b w:val="0"/>
                <w:color w:val="000000"/>
                <w:sz w:val="18"/>
              </w:rPr>
              <w:t>Not checked on VM after fix</w:t>
            </w:r>
          </w:p>
        </w:tc>
        <w:tc>
          <w:tcPr>
            <w:tcW w:type="dxa" w:w="144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4F6"/>
          </w:tcPr>
          <w:p>
            <w:pPr>
              <w:spacing w:after="40" w:line="245" w:lineRule="auto"/>
            </w:pPr>
            <w:r>
              <w:rPr>
                <w:b w:val="0"/>
                <w:color w:val="000000"/>
                <w:sz w:val="18"/>
              </w:rPr>
              <w:t>Pending</w:t>
            </w:r>
          </w:p>
        </w:tc>
      </w:tr>
      <w:tr>
        <w:trPr>
          <w:cantSplit/>
        </w:trPr>
        <w:tc>
          <w:tcPr>
            <w:tcW w:type="dxa" w:w="20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b w:val="0"/>
                <w:color w:val="000000"/>
                <w:sz w:val="18"/>
              </w:rPr>
              <w:t>Duplicate detection</w:t>
            </w:r>
          </w:p>
        </w:tc>
        <w:tc>
          <w:tcPr>
            <w:tcW w:type="dxa" w:w="302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b w:val="0"/>
                <w:color w:val="000000"/>
                <w:sz w:val="18"/>
              </w:rPr>
              <w:t>Stable local rerun adds no duplicate IDs</w:t>
            </w:r>
          </w:p>
        </w:tc>
        <w:tc>
          <w:tcPr>
            <w:tcW w:type="dxa" w:w="35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b w:val="0"/>
                <w:color w:val="000000"/>
                <w:sz w:val="18"/>
              </w:rPr>
              <w:t>Not executed; blob ID risk identified</w:t>
            </w:r>
          </w:p>
        </w:tc>
        <w:tc>
          <w:tcPr>
            <w:tcW w:type="dxa" w:w="144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b w:val="0"/>
                <w:color w:val="000000"/>
                <w:sz w:val="18"/>
              </w:rPr>
              <w:t>Pending</w:t>
            </w:r>
          </w:p>
        </w:tc>
      </w:tr>
      <w:tr>
        <w:trPr>
          <w:cantSplit/>
        </w:trPr>
        <w:tc>
          <w:tcPr>
            <w:tcW w:type="dxa" w:w="20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4F6"/>
          </w:tcPr>
          <w:p>
            <w:pPr>
              <w:spacing w:after="40" w:line="245" w:lineRule="auto"/>
            </w:pPr>
            <w:r>
              <w:rPr>
                <w:b w:val="0"/>
                <w:color w:val="000000"/>
                <w:sz w:val="18"/>
              </w:rPr>
              <w:t>Retrieval and chat</w:t>
            </w:r>
          </w:p>
        </w:tc>
        <w:tc>
          <w:tcPr>
            <w:tcW w:type="dxa" w:w="302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4F6"/>
          </w:tcPr>
          <w:p>
            <w:pPr>
              <w:spacing w:after="40" w:line="245" w:lineRule="auto"/>
            </w:pPr>
            <w:r>
              <w:rPr>
                <w:b w:val="0"/>
                <w:color w:val="000000"/>
                <w:sz w:val="18"/>
              </w:rPr>
              <w:t>Relevant sources; grounded response</w:t>
            </w:r>
          </w:p>
        </w:tc>
        <w:tc>
          <w:tcPr>
            <w:tcW w:type="dxa" w:w="35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4F6"/>
          </w:tcPr>
          <w:p>
            <w:pPr>
              <w:spacing w:after="40" w:line="245" w:lineRule="auto"/>
            </w:pPr>
            <w:r>
              <w:rPr>
                <w:b w:val="0"/>
                <w:color w:val="000000"/>
                <w:sz w:val="18"/>
              </w:rPr>
              <w:t>Not executed after fix</w:t>
            </w:r>
          </w:p>
        </w:tc>
        <w:tc>
          <w:tcPr>
            <w:tcW w:type="dxa" w:w="144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4F6"/>
          </w:tcPr>
          <w:p>
            <w:pPr>
              <w:spacing w:after="40" w:line="245" w:lineRule="auto"/>
            </w:pPr>
            <w:r>
              <w:rPr>
                <w:b w:val="0"/>
                <w:color w:val="000000"/>
                <w:sz w:val="18"/>
              </w:rPr>
              <w:t>Pending</w:t>
            </w:r>
          </w:p>
        </w:tc>
      </w:tr>
      <w:tr>
        <w:trPr>
          <w:cantSplit/>
        </w:trPr>
        <w:tc>
          <w:tcPr>
            <w:tcW w:type="dxa" w:w="20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b w:val="0"/>
                <w:color w:val="000000"/>
                <w:sz w:val="18"/>
              </w:rPr>
              <w:t>Failure and recovery</w:t>
            </w:r>
          </w:p>
        </w:tc>
        <w:tc>
          <w:tcPr>
            <w:tcW w:type="dxa" w:w="302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b w:val="0"/>
                <w:color w:val="000000"/>
                <w:sz w:val="18"/>
              </w:rPr>
              <w:t>Failed batch visible; prior batches retained</w:t>
            </w:r>
          </w:p>
        </w:tc>
        <w:tc>
          <w:tcPr>
            <w:tcW w:type="dxa" w:w="35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b w:val="0"/>
                <w:color w:val="000000"/>
                <w:sz w:val="18"/>
              </w:rPr>
              <w:t>Controlled failure test not executed</w:t>
            </w:r>
          </w:p>
        </w:tc>
        <w:tc>
          <w:tcPr>
            <w:tcW w:type="dxa" w:w="144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b w:val="0"/>
                <w:color w:val="000000"/>
                <w:sz w:val="18"/>
              </w:rPr>
              <w:t>Pending</w:t>
            </w:r>
          </w:p>
        </w:tc>
      </w:tr>
      <w:tr>
        <w:trPr>
          <w:cantSplit/>
        </w:trPr>
        <w:tc>
          <w:tcPr>
            <w:tcW w:type="dxa" w:w="20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4F6"/>
          </w:tcPr>
          <w:p>
            <w:pPr>
              <w:spacing w:after="40" w:line="245" w:lineRule="auto"/>
            </w:pPr>
            <w:r>
              <w:rPr>
                <w:b w:val="0"/>
                <w:color w:val="000000"/>
                <w:sz w:val="18"/>
              </w:rPr>
              <w:t>CPU memory and storage</w:t>
            </w:r>
          </w:p>
        </w:tc>
        <w:tc>
          <w:tcPr>
            <w:tcW w:type="dxa" w:w="302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4F6"/>
          </w:tcPr>
          <w:p>
            <w:pPr>
              <w:spacing w:after="40" w:line="245" w:lineRule="auto"/>
            </w:pPr>
            <w:r>
              <w:rPr>
                <w:b w:val="0"/>
                <w:color w:val="000000"/>
                <w:sz w:val="18"/>
              </w:rPr>
              <w:t>Measured resource use within VM capacity</w:t>
            </w:r>
          </w:p>
        </w:tc>
        <w:tc>
          <w:tcPr>
            <w:tcW w:type="dxa" w:w="35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4F6"/>
          </w:tcPr>
          <w:p>
            <w:pPr>
              <w:spacing w:after="40" w:line="245" w:lineRule="auto"/>
            </w:pPr>
            <w:r>
              <w:rPr>
                <w:b w:val="0"/>
                <w:color w:val="000000"/>
                <w:sz w:val="18"/>
              </w:rPr>
              <w:t>No post-fix measurements</w:t>
            </w:r>
          </w:p>
        </w:tc>
        <w:tc>
          <w:tcPr>
            <w:tcW w:type="dxa" w:w="144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4F6"/>
          </w:tcPr>
          <w:p>
            <w:pPr>
              <w:spacing w:after="40" w:line="245" w:lineRule="auto"/>
            </w:pPr>
            <w:r>
              <w:rPr>
                <w:b w:val="0"/>
                <w:color w:val="000000"/>
                <w:sz w:val="18"/>
              </w:rPr>
              <w:t>Pending</w:t>
            </w:r>
          </w:p>
        </w:tc>
      </w:tr>
    </w:tbl>
    <w:p/>
    <w:p>
      <w:r>
        <w:t>Test limitation. The mock test does not validate the real collection route or server schema: it constructs AppProperties without binding collection configuration and accepts requests in-process. It establishes batching behavior, not production integration. Existing reports must not be presented as proof that the VM incident is resolved. [S7]</w:t>
      </w:r>
    </w:p>
    <w:p>
      <w:r>
        <w:br w:type="page"/>
      </w:r>
    </w:p>
    <w:p>
      <w:pPr>
        <w:pStyle w:val="Heading1"/>
      </w:pPr>
      <w:r>
        <w:t>8 Engineering Lessons Learned</w:t>
      </w:r>
    </w:p>
    <w:p>
      <w:r>
        <w:t>Request budgets belong in pipeline design. A small row count can expand into thousands of overlapping chunks and large JSON vectors. A maximum point count lowers typical request size, while a byte-aware cap is needed to enforce a payload budget for variable data. The 32 MiB limit concerns a request, not total database capacity. [S1, S2]</w:t>
      </w:r>
    </w:p>
    <w:p>
      <w:r>
        <w:t>Incremental writes reduce exposure. The implemented batch buffer holds at most 100 constructed points and persists them before continuing. However, ParquetFilingReader and IngestionService still materialize a file’s records and chunks. Streaming those stages is a future memory improvement. [S2–S4]</w:t>
      </w:r>
    </w:p>
    <w:p>
      <w:r>
        <w:t>Progress is useful but incomplete. Start, batch and completion logs are implemented. Structured job IDs, serialized bytes, embedding throughput, retries and durable status are future recommendations. Local test logs in backend/logs/filinglens.log describe the 205-point mock fixture and must not be mistaken for VM ingestion success. [S2, S7]</w:t>
      </w:r>
    </w:p>
    <w:p>
      <w:r>
        <w:t>Idempotency needs stable source identity. Local IDs derive from source filename, company, year, section, filing date and chunk offsets. Identical local inputs can overwrite existing IDs. Blob downloads use random temporary filenames, so the same blob can generate different IDs on a rerun. Same-ID writes do not create a durable resume mechanism, and interrupted runs still repeat embedding work. [S4, S5]</w:t>
      </w:r>
    </w:p>
    <w:p>
      <w:pPr>
        <w:pStyle w:val="Heading1"/>
      </w:pPr>
      <w:r>
        <w:t>9 Recommendations</w:t>
      </w:r>
    </w:p>
    <w:tbl>
      <w:tblPr>
        <w:tblW w:type="auto" w:w="0"/>
        <w:jc w:val="center"/>
        <w:tblLayout w:type="fixed"/>
        <w:tblLook w:firstColumn="1" w:firstRow="1" w:lastColumn="0" w:lastRow="0" w:noHBand="0" w:noVBand="1" w:val="04A0"/>
      </w:tblPr>
      <w:tblGrid>
        <w:gridCol w:w="1224"/>
        <w:gridCol w:w="6048"/>
        <w:gridCol w:w="2808"/>
      </w:tblGrid>
      <w:tr>
        <w:trPr>
          <w:tblHeader/>
          <w:cantSplit/>
        </w:trPr>
        <w:tc>
          <w:tcPr>
            <w:tcW w:type="dxa" w:w="122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17364D"/>
          </w:tcPr>
          <w:p>
            <w:pPr>
              <w:spacing w:after="40" w:line="245" w:lineRule="auto"/>
            </w:pPr>
            <w:r>
              <w:rPr>
                <w:b/>
                <w:color w:val="FFFFFF"/>
                <w:sz w:val="18"/>
              </w:rPr>
              <w:t>Priority</w:t>
            </w:r>
          </w:p>
        </w:tc>
        <w:tc>
          <w:tcPr>
            <w:tcW w:type="dxa" w:w="604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17364D"/>
          </w:tcPr>
          <w:p>
            <w:pPr>
              <w:spacing w:after="40" w:line="245" w:lineRule="auto"/>
            </w:pPr>
            <w:r>
              <w:rPr>
                <w:b/>
                <w:color w:val="FFFFFF"/>
                <w:sz w:val="18"/>
              </w:rPr>
              <w:t>Recommendation</w:t>
            </w:r>
          </w:p>
        </w:tc>
        <w:tc>
          <w:tcPr>
            <w:tcW w:type="dxa" w:w="280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17364D"/>
          </w:tcPr>
          <w:p>
            <w:pPr>
              <w:spacing w:after="40" w:line="245" w:lineRule="auto"/>
            </w:pPr>
            <w:r>
              <w:rPr>
                <w:b/>
                <w:color w:val="FFFFFF"/>
                <w:sz w:val="18"/>
              </w:rPr>
              <w:t>Implementation status</w:t>
            </w:r>
          </w:p>
        </w:tc>
      </w:tr>
      <w:tr>
        <w:trPr>
          <w:cantSplit/>
        </w:trPr>
        <w:tc>
          <w:tcPr>
            <w:tcW w:type="dxa" w:w="122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b w:val="0"/>
                <w:color w:val="000000"/>
                <w:sz w:val="18"/>
              </w:rPr>
              <w:t>Immediate</w:t>
            </w:r>
          </w:p>
        </w:tc>
        <w:tc>
          <w:tcPr>
            <w:tcW w:type="dxa" w:w="604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b w:val="0"/>
                <w:color w:val="000000"/>
                <w:sz w:val="18"/>
              </w:rPr>
              <w:t>Deploy existing batch fix; collect all VM acceptance evidence before closing incident</w:t>
            </w:r>
          </w:p>
        </w:tc>
        <w:tc>
          <w:tcPr>
            <w:tcW w:type="dxa" w:w="280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b w:val="0"/>
                <w:color w:val="000000"/>
                <w:sz w:val="18"/>
              </w:rPr>
              <w:t>Code implemented; VM retest pending</w:t>
            </w:r>
          </w:p>
        </w:tc>
      </w:tr>
      <w:tr>
        <w:trPr>
          <w:cantSplit/>
        </w:trPr>
        <w:tc>
          <w:tcPr>
            <w:tcW w:type="dxa" w:w="122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4F6"/>
          </w:tcPr>
          <w:p>
            <w:pPr>
              <w:spacing w:after="40" w:line="245" w:lineRule="auto"/>
            </w:pPr>
            <w:r>
              <w:rPr>
                <w:b w:val="0"/>
                <w:color w:val="000000"/>
                <w:sz w:val="18"/>
              </w:rPr>
              <w:t>Immediate</w:t>
            </w:r>
          </w:p>
        </w:tc>
        <w:tc>
          <w:tcPr>
            <w:tcW w:type="dxa" w:w="604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4F6"/>
          </w:tcPr>
          <w:p>
            <w:pPr>
              <w:spacing w:after="40" w:line="245" w:lineRule="auto"/>
            </w:pPr>
            <w:r>
              <w:rPr>
                <w:b w:val="0"/>
                <w:color w:val="000000"/>
                <w:sz w:val="18"/>
              </w:rPr>
              <w:t>Measure serialized bytes and add a byte budget with headroom; handle an individually oversized point</w:t>
            </w:r>
          </w:p>
        </w:tc>
        <w:tc>
          <w:tcPr>
            <w:tcW w:type="dxa" w:w="280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4F6"/>
          </w:tcPr>
          <w:p>
            <w:pPr>
              <w:spacing w:after="40" w:line="245" w:lineRule="auto"/>
            </w:pPr>
            <w:r>
              <w:rPr>
                <w:b w:val="0"/>
                <w:color w:val="000000"/>
                <w:sz w:val="18"/>
              </w:rPr>
              <w:t>Recommended; not implemented</w:t>
            </w:r>
          </w:p>
        </w:tc>
      </w:tr>
      <w:tr>
        <w:trPr>
          <w:cantSplit/>
        </w:trPr>
        <w:tc>
          <w:tcPr>
            <w:tcW w:type="dxa" w:w="122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b w:val="0"/>
                <w:color w:val="000000"/>
                <w:sz w:val="18"/>
              </w:rPr>
              <w:t>Immediate</w:t>
            </w:r>
          </w:p>
        </w:tc>
        <w:tc>
          <w:tcPr>
            <w:tcW w:type="dxa" w:w="604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b w:val="0"/>
                <w:color w:val="000000"/>
                <w:sz w:val="18"/>
              </w:rPr>
              <w:t>Retain run output and verify exact counts, logical duplicates and representative retrieval</w:t>
            </w:r>
          </w:p>
        </w:tc>
        <w:tc>
          <w:tcPr>
            <w:tcW w:type="dxa" w:w="280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b w:val="0"/>
                <w:color w:val="000000"/>
                <w:sz w:val="18"/>
              </w:rPr>
              <w:t>Retest procedure documented</w:t>
            </w:r>
          </w:p>
        </w:tc>
      </w:tr>
      <w:tr>
        <w:trPr>
          <w:cantSplit/>
        </w:trPr>
        <w:tc>
          <w:tcPr>
            <w:tcW w:type="dxa" w:w="122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4F6"/>
          </w:tcPr>
          <w:p>
            <w:pPr>
              <w:spacing w:after="40" w:line="245" w:lineRule="auto"/>
            </w:pPr>
            <w:r>
              <w:rPr>
                <w:b w:val="0"/>
                <w:color w:val="000000"/>
                <w:sz w:val="18"/>
              </w:rPr>
              <w:t>Next</w:t>
            </w:r>
          </w:p>
        </w:tc>
        <w:tc>
          <w:tcPr>
            <w:tcW w:type="dxa" w:w="604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4F6"/>
          </w:tcPr>
          <w:p>
            <w:pPr>
              <w:spacing w:after="40" w:line="245" w:lineRule="auto"/>
            </w:pPr>
            <w:r>
              <w:rPr>
                <w:b w:val="0"/>
                <w:color w:val="000000"/>
                <w:sz w:val="18"/>
              </w:rPr>
              <w:t>Add bounded retries with backoff for transient errors; do not blindly retry oversized HTTP 400 requests</w:t>
            </w:r>
          </w:p>
        </w:tc>
        <w:tc>
          <w:tcPr>
            <w:tcW w:type="dxa" w:w="280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4F6"/>
          </w:tcPr>
          <w:p>
            <w:pPr>
              <w:spacing w:after="40" w:line="245" w:lineRule="auto"/>
            </w:pPr>
            <w:r>
              <w:rPr>
                <w:b w:val="0"/>
                <w:color w:val="000000"/>
                <w:sz w:val="18"/>
              </w:rPr>
              <w:t>Recommended; not implemented</w:t>
            </w:r>
          </w:p>
        </w:tc>
      </w:tr>
      <w:tr>
        <w:trPr>
          <w:cantSplit/>
        </w:trPr>
        <w:tc>
          <w:tcPr>
            <w:tcW w:type="dxa" w:w="122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b w:val="0"/>
                <w:color w:val="000000"/>
                <w:sz w:val="18"/>
              </w:rPr>
              <w:t>Next</w:t>
            </w:r>
          </w:p>
        </w:tc>
        <w:tc>
          <w:tcPr>
            <w:tcW w:type="dxa" w:w="604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b w:val="0"/>
                <w:color w:val="000000"/>
                <w:sz w:val="18"/>
              </w:rPr>
              <w:t>Persist embeddings or checkpoints and expose asynchronous job status so long runs can resume</w:t>
            </w:r>
          </w:p>
        </w:tc>
        <w:tc>
          <w:tcPr>
            <w:tcW w:type="dxa" w:w="280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b w:val="0"/>
                <w:color w:val="000000"/>
                <w:sz w:val="18"/>
              </w:rPr>
              <w:t>Recommended; not implemented</w:t>
            </w:r>
          </w:p>
        </w:tc>
      </w:tr>
      <w:tr>
        <w:trPr>
          <w:cantSplit/>
        </w:trPr>
        <w:tc>
          <w:tcPr>
            <w:tcW w:type="dxa" w:w="122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4F6"/>
          </w:tcPr>
          <w:p>
            <w:pPr>
              <w:spacing w:after="40" w:line="245" w:lineRule="auto"/>
            </w:pPr>
            <w:r>
              <w:rPr>
                <w:b w:val="0"/>
                <w:color w:val="000000"/>
                <w:sz w:val="18"/>
              </w:rPr>
              <w:t>Next</w:t>
            </w:r>
          </w:p>
        </w:tc>
        <w:tc>
          <w:tcPr>
            <w:tcW w:type="dxa" w:w="604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4F6"/>
          </w:tcPr>
          <w:p>
            <w:pPr>
              <w:spacing w:after="40" w:line="245" w:lineRule="auto"/>
            </w:pPr>
            <w:r>
              <w:rPr>
                <w:b w:val="0"/>
                <w:color w:val="000000"/>
                <w:sz w:val="18"/>
              </w:rPr>
              <w:t>Use stable blob names or content identity for IDs; make source version and chunk boundaries auditable</w:t>
            </w:r>
          </w:p>
        </w:tc>
        <w:tc>
          <w:tcPr>
            <w:tcW w:type="dxa" w:w="280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4F6"/>
          </w:tcPr>
          <w:p>
            <w:pPr>
              <w:spacing w:after="40" w:line="245" w:lineRule="auto"/>
            </w:pPr>
            <w:r>
              <w:rPr>
                <w:b w:val="0"/>
                <w:color w:val="000000"/>
                <w:sz w:val="18"/>
              </w:rPr>
              <w:t>Recommended; not implemented</w:t>
            </w:r>
          </w:p>
        </w:tc>
      </w:tr>
      <w:tr>
        <w:trPr>
          <w:cantSplit/>
        </w:trPr>
        <w:tc>
          <w:tcPr>
            <w:tcW w:type="dxa" w:w="122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b w:val="0"/>
                <w:color w:val="000000"/>
                <w:sz w:val="18"/>
              </w:rPr>
              <w:t>Longer term</w:t>
            </w:r>
          </w:p>
        </w:tc>
        <w:tc>
          <w:tcPr>
            <w:tcW w:type="dxa" w:w="604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b w:val="0"/>
                <w:color w:val="000000"/>
                <w:sz w:val="18"/>
              </w:rPr>
              <w:t>Stream Parquet and chunk processing; benchmark bounded embedding concurrency and production-scale tests</w:t>
            </w:r>
          </w:p>
        </w:tc>
        <w:tc>
          <w:tcPr>
            <w:tcW w:type="dxa" w:w="280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b w:val="0"/>
                <w:color w:val="000000"/>
                <w:sz w:val="18"/>
              </w:rPr>
              <w:t>Recommended; not implemented</w:t>
            </w:r>
          </w:p>
        </w:tc>
      </w:tr>
    </w:tbl>
    <w:p/>
    <w:p>
      <w:r>
        <w:t>Also externalize batch controls, reconcile saved-point counts in ingestion telemetry, and test boundary, timeout and partial-failure cases. The current recordsIndexed counter counts generated chunks; it should not become the sole evidence of persisted unique points. [S3]</w:t>
      </w:r>
    </w:p>
    <w:p>
      <w:r>
        <w:br w:type="page"/>
      </w:r>
    </w:p>
    <w:p>
      <w:pPr>
        <w:pStyle w:val="Heading1"/>
      </w:pPr>
      <w:r>
        <w:t>10 Conclusion</w:t>
      </w:r>
    </w:p>
    <w:p>
      <w:r>
        <w:t>The incident was a confirmed upload-size failure after successful embedding generation. One approximately 124 MiB request exceeded Qdrant’s effective 32 MiB limit. Application error handling surfaced the rejection as HTTP 502; the cause was not established as an SSH timeout or lack of disk space. [S1, S8]</w:t>
      </w:r>
    </w:p>
    <w:p>
      <w:r>
        <w:t>The local fix introduces incremental uploads of up to 100 points with successful-batch progress logs and preserves a commented local testing cap. Existing local tests support the batching behavior. They do not verify real request sizes, VM persistence, duplicate handling or end-to-end retrieval. [S2, S7]</w:t>
      </w:r>
    </w:p>
    <w:p>
      <w:r>
        <w:t>Resolution status remains Implemented — Pending Retest. Close the incident only after the updated VM run completes, all request sizes meet the budget, exact counts and source identities reconcile, and representative retrieval succeeds. Retain logs and measurements with the report.</w:t>
      </w:r>
    </w:p>
    <w:p>
      <w:pPr>
        <w:pStyle w:val="Heading2"/>
      </w:pPr>
      <w:r>
        <w:t>Evidence and Source Register</w:t>
      </w:r>
    </w:p>
    <w:p>
      <w:r>
        <w:t>Paths below are relative to the FilingLens repository unless identified as supplied evidence. Review date: 16 October 2026. Git baseline inspected: 107e50b; batching changes are present in the working tree, with a new regression test. No new application edits were made for this report.</w:t>
      </w:r>
    </w:p>
    <w:p>
      <w:pPr>
        <w:spacing w:after="100"/>
      </w:pPr>
      <w:r>
        <w:rPr>
          <w:sz w:val="18"/>
        </w:rPr>
        <w:t>[S1] Supplied VM incident logs. Attachment Pasted text.txt in incident attachment fe10ddfd-b4ef-4a48-8260-b58993b1ea0c; earlier user-supplied reader and Ollama excerpts. UTC timestamps preserved.</w:t>
      </w:r>
    </w:p>
    <w:p>
      <w:pPr>
        <w:spacing w:after="100"/>
      </w:pPr>
      <w:r>
        <w:rPr>
          <w:sz w:val="18"/>
        </w:rPr>
        <w:t>[S2] Qdrant write and search implementation. backend/src/main/java/com/sec/rag/rag/QdrantService.java — upsert, uploadBatch, ensureCollectionExists and search; current working-tree diff.</w:t>
      </w:r>
    </w:p>
    <w:p>
      <w:pPr>
        <w:spacing w:after="100"/>
      </w:pPr>
      <w:r>
        <w:rPr>
          <w:sz w:val="18"/>
        </w:rPr>
        <w:t>[S3] Ingestion orchestration. backend/src/main/java/com/sec/rag/ingestion/IngestionService.java — ingestAll and resolveParquetFiles.</w:t>
      </w:r>
    </w:p>
    <w:p>
      <w:pPr>
        <w:spacing w:after="100"/>
      </w:pPr>
      <w:r>
        <w:rPr>
          <w:sz w:val="18"/>
        </w:rPr>
        <w:t>[S4] Parsing and chunk identity. backend/src/main/java/com/sec/rag/ingestion/ — ParquetFilingReader.java, SchemaResolver.java and TextChunker.java.</w:t>
      </w:r>
    </w:p>
    <w:p>
      <w:pPr>
        <w:spacing w:after="100"/>
      </w:pPr>
      <w:r>
        <w:rPr>
          <w:sz w:val="18"/>
        </w:rPr>
        <w:t>[S5] Blob source handling. backend/src/main/java/com/sec/rag/ingestion/BlobParquetStorageService.java — downloadParquetFiles and temporary-path creation.</w:t>
      </w:r>
    </w:p>
    <w:p>
      <w:pPr>
        <w:spacing w:after="100"/>
      </w:pPr>
      <w:r>
        <w:rPr>
          <w:sz w:val="18"/>
        </w:rPr>
        <w:t>[S6] Runtime and configuration. docker-compose.yml; backend/Dockerfile; backend/pom.xml; backend/src/main/resources/application.yml; config/LangChainConfig.java under backend/src/main/java/com/sec/rag/.</w:t>
      </w:r>
    </w:p>
    <w:p>
      <w:pPr>
        <w:spacing w:after="100"/>
      </w:pPr>
      <w:r>
        <w:rPr>
          <w:sz w:val="18"/>
        </w:rPr>
        <w:t>[S7] Local verification evidence. backend/src/test/java/com/sec/rag/rag/QdrantServiceTests.java; backend/target/surefire-reports/com.sec.rag.rag.QdrantServiceTests.txt and com.sec.rag.Sec10KRagApplicationTests.txt; backend/logs/filinglens.log.</w:t>
      </w:r>
    </w:p>
    <w:p>
      <w:pPr>
        <w:spacing w:after="100"/>
      </w:pPr>
      <w:r>
        <w:rPr>
          <w:sz w:val="18"/>
        </w:rPr>
        <w:t>[S8] API and error handling. backend/src/main/java/com/sec/rag/controller/ — IngestionController.java, ChatController.java and GlobalExceptionHandler.java; dto/ChatRequest.java; service/ChatService.java.</w:t>
      </w:r>
    </w:p>
    <w:sectPr w:rsidR="00FC693F" w:rsidRPr="0006063C" w:rsidSect="00034616">
      <w:footerReference w:type="default" r:id="rId9"/>
      <w:headerReference w:type="default" r:id="rId10"/>
      <w:pgSz w:w="12240" w:h="15840"/>
      <w:pgMar w:top="979" w:right="1080" w:bottom="1368" w:left="108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FilingLens incident report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000000"/>
        <w:sz w:val="16"/>
      </w:rPr>
      <w:t>FILINGLENS  /  ENGINEERING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47"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80"/>
      <w:outlineLvl w:val="0"/>
    </w:pPr>
    <w:rPr>
      <w:rFonts w:asciiTheme="majorHAnsi" w:eastAsiaTheme="majorEastAsia" w:hAnsiTheme="majorHAnsi" w:cstheme="majorBidi" w:ascii="Calibri" w:hAnsi="Calibr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6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Calibri" w:hAnsi="Calibri"/>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after="0" w:line="240" w:lineRule="auto"/>
      <w:ind w:left="115"/>
    </w:pPr>
    <w:rPr>
      <w:rFonts w:ascii="Menlo" w:hAnsi="Menlo"/>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FilingLens Data Engineering Incident Report</dc:title>
  <dc:subject>Qdrant ingestion payload failure and verification plan</dc:subject>
  <dc:creator>FilingLens</dc:creator>
  <cp:keywords>RAG, Qdrant, ingestion, batching, pending retest</cp:keywords>
  <dc:description>generated by python-docx</dc:description>
  <cp:lastModifiedBy/>
  <cp:revision>1</cp:revision>
  <dcterms:created xsi:type="dcterms:W3CDTF">2013-12-23T23:15:00Z</dcterms:created>
  <dcterms:modified xsi:type="dcterms:W3CDTF">2013-12-23T23:15:00Z</dcterms:modified>
  <cp:category/>
</cp:coreProperties>
</file>