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Georgia" w:hAnsi="Georgia"/>
          <w:b/>
          <w:color w:val="1A2A44"/>
          <w:sz w:val="48"/>
        </w:rPr>
        <w:t>SUNLIGHT</w:t>
      </w:r>
    </w:p>
    <w:p>
      <w:pPr>
        <w:spacing w:before="240" w:after="720"/>
        <w:jc w:val="center"/>
      </w:pPr>
      <w:r>
        <w:rPr>
          <w:rFonts w:ascii="Georgia" w:hAnsi="Georgia"/>
          <w:color w:val="1A2A44"/>
          <w:sz w:val="28"/>
        </w:rPr>
        <w:t>Verification of Five Procurement Contracts under the v4.0 Core Architecture:</w:t>
        <w:br/>
        <w:t>Findings, Methodology, and Reproducibility Notes</w:t>
      </w:r>
    </w:p>
    <w:p>
      <w:pPr>
        <w:spacing w:before="40" w:after="120"/>
        <w:pBdr>
          <w:bottom w:val="single" w:sz="4" w:space="1" w:color="1A2A44"/>
        </w:pBdr>
      </w:pPr>
    </w:p>
    <w:p>
      <w:pPr>
        <w:spacing w:before="360" w:after="240"/>
      </w:pPr>
      <w:r>
        <w:rPr>
          <w:rFonts w:ascii="Georgia" w:hAnsi="Georgia"/>
          <w:i/>
          <w:color w:val="333333"/>
          <w:sz w:val="20"/>
        </w:rPr>
        <w:t>Le present document rapporte les resultats de verification de cinq contrats d'approvisionnement a travers l'architecture SUNLIGHT v4.0 Core. Chaque contrat est soumis aux trois moteurs analytiques du systeme — l'indicateur statistique de risque concurrentiel (CRI), l'analyse topologique contractuelle (TCA) et la porte de verification des preuves (EVG) — produisant un verdict a trois niveaux (GREEN, YELLOW, RED) avec tracabilite complete des regles appliquees, des seuils franchis et des citations juridiques rendues par le profil juridictionnel applicable. Les cinq cas couvrent le spectre analytique complet : absence de constat, anomalie statistique unidimensionnelle, constat structurel multidimensionnel, validation de reference sur un cas poursuivi par le DOJ americain, et comparaison de comportement entre deux profils juridictionnels sur un contrat identique.</w:t>
      </w:r>
    </w:p>
    <w:p>
      <w:pPr>
        <w:spacing w:before="240" w:after="360"/>
      </w:pPr>
      <w:r>
        <w:rPr>
          <w:rFonts w:ascii="Georgia" w:hAnsi="Georgia"/>
          <w:color w:val="333333"/>
          <w:sz w:val="20"/>
        </w:rPr>
        <w:t>The technical body of this document presents each contract as a self-contained case memorandum. All numerical values, thresholds, verdicts, and legal citations are drawn directly from the engine output recorded in the analytical register (contracts_analyzed.json) generated by the SUNLIGHT v4.0 Core pipeline. No value in this document has been rounded, edited, or interpreted beyond what the engine produced. A methodology appendix follows the five case memoranda.</w:t>
      </w:r>
    </w:p>
    <w:p>
      <w:pPr>
        <w:spacing w:before="40" w:after="120"/>
        <w:pBdr>
          <w:bottom w:val="single" w:sz="4" w:space="1" w:color="1A2A44"/>
        </w:pBdr>
      </w:pPr>
    </w:p>
    <w:p>
      <w:pPr>
        <w:pStyle w:val="Heading3"/>
      </w:pPr>
      <w:r>
        <w:t>Document Metadata</w:t>
      </w:r>
    </w:p>
    <w:tbl>
      <w:tblPr>
        <w:tblW w:type="auto" w:w="0"/>
        <w:jc w:val="left"/>
        <w:tblLook w:firstColumn="1" w:firstRow="1" w:lastColumn="0" w:lastRow="0" w:noHBand="0" w:noVBand="1" w:val="04A0"/>
        <w:tblBorders>
          <w:top w:val="single" w:sz="4" w:space="0" w:color="1A2A44"/>
          <w:bottom w:val="single" w:sz="4" w:space="0" w:color="1A2A44"/>
          <w:insideH w:val="none" w:sz="0" w:space="0" w:color="auto"/>
          <w:insideV w:val="none" w:sz="0" w:space="0" w:color="auto"/>
          <w:left w:val="none" w:sz="0" w:space="0" w:color="auto"/>
          <w:right w:val="none" w:sz="0" w:space="0" w:color="auto"/>
        </w:tblBorders>
      </w:tblPr>
      <w:tblGrid>
        <w:gridCol w:w="4320"/>
        <w:gridCol w:w="4320"/>
      </w:tblGrid>
      <w:tr>
        <w:tc>
          <w:tcPr>
            <w:tcW w:type="dxa" w:w="4320"/>
          </w:tcPr>
          <w:p>
            <w:pPr>
              <w:spacing w:before="40" w:after="40"/>
            </w:pPr>
            <w:r>
              <w:rPr>
                <w:rFonts w:ascii="Georgia" w:hAnsi="Georgia"/>
                <w:b/>
                <w:color w:val="333333"/>
                <w:sz w:val="20"/>
              </w:rPr>
              <w:t>Engine version</w:t>
            </w:r>
          </w:p>
        </w:tc>
        <w:tc>
          <w:tcPr>
            <w:tcW w:type="dxa" w:w="4320"/>
          </w:tcPr>
          <w:p>
            <w:pPr>
              <w:spacing w:before="40" w:after="40"/>
            </w:pPr>
            <w:r>
              <w:rPr>
                <w:rFonts w:ascii="Georgia" w:hAnsi="Georgia"/>
                <w:color w:val="333333"/>
                <w:sz w:val="20"/>
              </w:rPr>
              <w:t>v4_core</w:t>
            </w:r>
          </w:p>
        </w:tc>
      </w:tr>
      <w:tr>
        <w:tc>
          <w:tcPr>
            <w:tcW w:type="dxa" w:w="4320"/>
          </w:tcPr>
          <w:p>
            <w:pPr>
              <w:spacing w:before="40" w:after="40"/>
            </w:pPr>
            <w:r>
              <w:rPr>
                <w:rFonts w:ascii="Georgia" w:hAnsi="Georgia"/>
                <w:b/>
                <w:color w:val="333333"/>
                <w:sz w:val="20"/>
              </w:rPr>
              <w:t>HEAD commit</w:t>
            </w:r>
          </w:p>
        </w:tc>
        <w:tc>
          <w:tcPr>
            <w:tcW w:type="dxa" w:w="4320"/>
          </w:tcPr>
          <w:p>
            <w:pPr>
              <w:spacing w:before="40" w:after="40"/>
            </w:pPr>
            <w:r>
              <w:rPr>
                <w:rFonts w:ascii="Georgia" w:hAnsi="Georgia"/>
                <w:color w:val="333333"/>
                <w:sz w:val="20"/>
              </w:rPr>
              <w:t>244f991</w:t>
            </w:r>
          </w:p>
        </w:tc>
      </w:tr>
      <w:tr>
        <w:tc>
          <w:tcPr>
            <w:tcW w:type="dxa" w:w="4320"/>
          </w:tcPr>
          <w:p>
            <w:pPr>
              <w:spacing w:before="40" w:after="40"/>
            </w:pPr>
            <w:r>
              <w:rPr>
                <w:rFonts w:ascii="Georgia" w:hAnsi="Georgia"/>
                <w:b/>
                <w:color w:val="333333"/>
                <w:sz w:val="20"/>
              </w:rPr>
              <w:t>MJPIS markup floor ratio</w:t>
            </w:r>
          </w:p>
        </w:tc>
        <w:tc>
          <w:tcPr>
            <w:tcW w:type="dxa" w:w="4320"/>
          </w:tcPr>
          <w:p>
            <w:pPr>
              <w:spacing w:before="40" w:after="40"/>
            </w:pPr>
            <w:r>
              <w:rPr>
                <w:rFonts w:ascii="Georgia" w:hAnsi="Georgia"/>
                <w:color w:val="333333"/>
                <w:sz w:val="20"/>
              </w:rPr>
              <w:t>0.501</w:t>
            </w:r>
          </w:p>
        </w:tc>
      </w:tr>
      <w:tr>
        <w:tc>
          <w:tcPr>
            <w:tcW w:type="dxa" w:w="4320"/>
          </w:tcPr>
          <w:p>
            <w:pPr>
              <w:spacing w:before="40" w:after="40"/>
            </w:pPr>
            <w:r>
              <w:rPr>
                <w:rFonts w:ascii="Georgia" w:hAnsi="Georgia"/>
                <w:b/>
                <w:color w:val="333333"/>
                <w:sz w:val="20"/>
              </w:rPr>
              <w:t>MJPIS bribery channel ratio</w:t>
            </w:r>
          </w:p>
        </w:tc>
        <w:tc>
          <w:tcPr>
            <w:tcW w:type="dxa" w:w="4320"/>
          </w:tcPr>
          <w:p>
            <w:pPr>
              <w:spacing w:before="40" w:after="40"/>
            </w:pPr>
            <w:r>
              <w:rPr>
                <w:rFonts w:ascii="Georgia" w:hAnsi="Georgia"/>
                <w:color w:val="333333"/>
                <w:sz w:val="20"/>
              </w:rPr>
              <w:t>0.0058</w:t>
            </w:r>
          </w:p>
        </w:tc>
      </w:tr>
      <w:tr>
        <w:tc>
          <w:tcPr>
            <w:tcW w:type="dxa" w:w="4320"/>
          </w:tcPr>
          <w:p>
            <w:pPr>
              <w:spacing w:before="40" w:after="40"/>
            </w:pPr>
            <w:r>
              <w:rPr>
                <w:rFonts w:ascii="Georgia" w:hAnsi="Georgia"/>
                <w:b/>
                <w:color w:val="333333"/>
                <w:sz w:val="20"/>
              </w:rPr>
              <w:t>MJPIS sanctionable threshold</w:t>
            </w:r>
          </w:p>
        </w:tc>
        <w:tc>
          <w:tcPr>
            <w:tcW w:type="dxa" w:w="4320"/>
          </w:tcPr>
          <w:p>
            <w:pPr>
              <w:spacing w:before="40" w:after="40"/>
            </w:pPr>
            <w:r>
              <w:rPr>
                <w:rFonts w:ascii="Georgia" w:hAnsi="Georgia"/>
                <w:color w:val="333333"/>
                <w:sz w:val="20"/>
              </w:rPr>
              <w:t>18 months</w:t>
            </w:r>
          </w:p>
        </w:tc>
      </w:tr>
      <w:tr>
        <w:tc>
          <w:tcPr>
            <w:tcW w:type="dxa" w:w="4320"/>
          </w:tcPr>
          <w:p>
            <w:pPr>
              <w:spacing w:before="40" w:after="40"/>
            </w:pPr>
            <w:r>
              <w:rPr>
                <w:rFonts w:ascii="Georgia" w:hAnsi="Georgia"/>
                <w:b/>
                <w:color w:val="333333"/>
                <w:sz w:val="20"/>
              </w:rPr>
              <w:t>Test suite passing</w:t>
            </w:r>
          </w:p>
        </w:tc>
        <w:tc>
          <w:tcPr>
            <w:tcW w:type="dxa" w:w="4320"/>
          </w:tcPr>
          <w:p>
            <w:pPr>
              <w:spacing w:before="40" w:after="40"/>
            </w:pPr>
            <w:r>
              <w:rPr>
                <w:rFonts w:ascii="Georgia" w:hAnsi="Georgia"/>
                <w:color w:val="333333"/>
                <w:sz w:val="20"/>
              </w:rPr>
              <w:t>682</w:t>
            </w:r>
          </w:p>
        </w:tc>
      </w:tr>
      <w:tr>
        <w:tc>
          <w:tcPr>
            <w:tcW w:type="dxa" w:w="4320"/>
          </w:tcPr>
          <w:p>
            <w:pPr>
              <w:spacing w:before="40" w:after="40"/>
            </w:pPr>
            <w:r>
              <w:rPr>
                <w:rFonts w:ascii="Georgia" w:hAnsi="Georgia"/>
                <w:b/>
                <w:color w:val="333333"/>
                <w:sz w:val="20"/>
              </w:rPr>
              <w:t>DOJ regression baseline</w:t>
            </w:r>
          </w:p>
        </w:tc>
        <w:tc>
          <w:tcPr>
            <w:tcW w:type="dxa" w:w="4320"/>
          </w:tcPr>
          <w:p>
            <w:pPr>
              <w:spacing w:before="40" w:after="40"/>
            </w:pPr>
            <w:r>
              <w:rPr>
                <w:rFonts w:ascii="Georgia" w:hAnsi="Georgia"/>
                <w:color w:val="333333"/>
                <w:sz w:val="20"/>
              </w:rPr>
              <w:t>69.2% / 100% / 8.0% / TP=9 FP=4 FN=0 TN=46</w:t>
            </w:r>
          </w:p>
        </w:tc>
      </w:tr>
      <w:tr>
        <w:tc>
          <w:tcPr>
            <w:tcW w:type="dxa" w:w="4320"/>
          </w:tcPr>
          <w:p>
            <w:pPr>
              <w:spacing w:before="40" w:after="40"/>
            </w:pPr>
            <w:r>
              <w:rPr>
                <w:rFonts w:ascii="Georgia" w:hAnsi="Georgia"/>
                <w:b/>
                <w:color w:val="333333"/>
                <w:sz w:val="20"/>
              </w:rPr>
              <w:t>Generation timestamp</w:t>
            </w:r>
          </w:p>
        </w:tc>
        <w:tc>
          <w:tcPr>
            <w:tcW w:type="dxa" w:w="4320"/>
          </w:tcPr>
          <w:p>
            <w:pPr>
              <w:spacing w:before="40" w:after="40"/>
            </w:pPr>
            <w:r>
              <w:rPr>
                <w:rFonts w:ascii="Georgia" w:hAnsi="Georgia"/>
                <w:color w:val="333333"/>
                <w:sz w:val="20"/>
              </w:rPr>
              <w:t>2026-04-14T13:57:59.702495+00:00</w:t>
            </w:r>
          </w:p>
        </w:tc>
      </w:tr>
    </w:tbl>
    <w:p>
      <w:r>
        <w:br w:type="page"/>
      </w:r>
    </w:p>
    <w:p>
      <w:pPr>
        <w:pStyle w:val="Heading1"/>
      </w:pPr>
      <w:r>
        <w:t>Table of Findings</w:t>
      </w:r>
    </w:p>
    <w:p>
      <w:pPr>
        <w:spacing w:before="40" w:after="120"/>
        <w:pBdr>
          <w:bottom w:val="single" w:sz="4" w:space="1" w:color="1A2A44"/>
        </w:pBdr>
      </w:pPr>
    </w:p>
    <w:tbl>
      <w:tblPr>
        <w:tblW w:type="auto" w:w="0"/>
        <w:jc w:val="left"/>
        <w:tblLook w:firstColumn="1" w:firstRow="1" w:lastColumn="0" w:lastRow="0" w:noHBand="0" w:noVBand="1" w:val="04A0"/>
        <w:tblBorders>
          <w:top w:val="single" w:sz="4" w:space="0" w:color="1A2A44"/>
          <w:bottom w:val="single" w:sz="4" w:space="0" w:color="1A2A44"/>
          <w:insideH w:val="none" w:sz="0" w:space="0" w:color="auto"/>
          <w:insideV w:val="none" w:sz="0" w:space="0" w:color="auto"/>
          <w:left w:val="none" w:sz="0" w:space="0" w:color="auto"/>
          <w:right w:val="none" w:sz="0" w:space="0" w:color="auto"/>
        </w:tblBorders>
      </w:tblPr>
      <w:tblGrid>
        <w:gridCol w:w="1440"/>
        <w:gridCol w:w="1440"/>
        <w:gridCol w:w="1440"/>
        <w:gridCol w:w="1440"/>
        <w:gridCol w:w="1440"/>
        <w:gridCol w:w="1440"/>
      </w:tblGrid>
      <w:tr>
        <w:tc>
          <w:tcPr>
            <w:tcW w:type="dxa" w:w="1440"/>
            <w:shd w:fill="F5F5F5" w:val="clear"/>
            <w:tcBorders>
              <w:bottom w:val="single" w:sz="4" w:space="0" w:color="1A2A44"/>
            </w:tcBorders>
          </w:tcPr>
          <w:p>
            <w:pPr>
              <w:spacing w:before="40" w:after="40"/>
            </w:pPr>
            <w:r>
              <w:rPr>
                <w:rFonts w:ascii="Georgia" w:hAnsi="Georgia"/>
                <w:b/>
                <w:color w:val="333333"/>
                <w:sz w:val="20"/>
              </w:rPr>
              <w:t>Case</w:t>
            </w:r>
          </w:p>
        </w:tc>
        <w:tc>
          <w:tcPr>
            <w:tcW w:type="dxa" w:w="1440"/>
            <w:shd w:fill="F5F5F5" w:val="clear"/>
            <w:tcBorders>
              <w:bottom w:val="single" w:sz="4" w:space="0" w:color="1A2A44"/>
            </w:tcBorders>
          </w:tcPr>
          <w:p>
            <w:pPr>
              <w:spacing w:before="40" w:after="40"/>
            </w:pPr>
            <w:r>
              <w:rPr>
                <w:rFonts w:ascii="Georgia" w:hAnsi="Georgia"/>
                <w:b/>
                <w:color w:val="333333"/>
                <w:sz w:val="20"/>
              </w:rPr>
              <w:t>Contract ID</w:t>
            </w:r>
          </w:p>
        </w:tc>
        <w:tc>
          <w:tcPr>
            <w:tcW w:type="dxa" w:w="1440"/>
            <w:shd w:fill="F5F5F5" w:val="clear"/>
            <w:tcBorders>
              <w:bottom w:val="single" w:sz="4" w:space="0" w:color="1A2A44"/>
            </w:tcBorders>
          </w:tcPr>
          <w:p>
            <w:pPr>
              <w:spacing w:before="40" w:after="40"/>
            </w:pPr>
            <w:r>
              <w:rPr>
                <w:rFonts w:ascii="Georgia" w:hAnsi="Georgia"/>
                <w:b/>
                <w:color w:val="333333"/>
                <w:sz w:val="20"/>
              </w:rPr>
              <w:t>Agency / Vendor</w:t>
            </w:r>
          </w:p>
        </w:tc>
        <w:tc>
          <w:tcPr>
            <w:tcW w:type="dxa" w:w="1440"/>
            <w:shd w:fill="F5F5F5" w:val="clear"/>
            <w:tcBorders>
              <w:bottom w:val="single" w:sz="4" w:space="0" w:color="1A2A44"/>
            </w:tcBorders>
          </w:tcPr>
          <w:p>
            <w:pPr>
              <w:spacing w:before="40" w:after="40"/>
            </w:pPr>
            <w:r>
              <w:rPr>
                <w:rFonts w:ascii="Georgia" w:hAnsi="Georgia"/>
                <w:b/>
                <w:color w:val="333333"/>
                <w:sz w:val="20"/>
              </w:rPr>
              <w:t>Profile</w:t>
            </w:r>
          </w:p>
        </w:tc>
        <w:tc>
          <w:tcPr>
            <w:tcW w:type="dxa" w:w="1440"/>
            <w:shd w:fill="F5F5F5" w:val="clear"/>
            <w:tcBorders>
              <w:bottom w:val="single" w:sz="4" w:space="0" w:color="1A2A44"/>
            </w:tcBorders>
          </w:tcPr>
          <w:p>
            <w:pPr>
              <w:spacing w:before="40" w:after="40"/>
            </w:pPr>
            <w:r>
              <w:rPr>
                <w:rFonts w:ascii="Georgia" w:hAnsi="Georgia"/>
                <w:b/>
                <w:color w:val="333333"/>
                <w:sz w:val="20"/>
              </w:rPr>
              <w:t>Verdict</w:t>
            </w:r>
          </w:p>
        </w:tc>
        <w:tc>
          <w:tcPr>
            <w:tcW w:type="dxa" w:w="1440"/>
            <w:shd w:fill="F5F5F5" w:val="clear"/>
            <w:tcBorders>
              <w:bottom w:val="single" w:sz="4" w:space="0" w:color="1A2A44"/>
            </w:tcBorders>
          </w:tcPr>
          <w:p>
            <w:pPr>
              <w:spacing w:before="40" w:after="40"/>
            </w:pPr>
            <w:r>
              <w:rPr>
                <w:rFonts w:ascii="Georgia" w:hAnsi="Georgia"/>
                <w:b/>
                <w:color w:val="333333"/>
                <w:sz w:val="20"/>
              </w:rPr>
              <w:t>Dims Firing</w:t>
            </w:r>
          </w:p>
        </w:tc>
      </w:tr>
      <w:tr>
        <w:tc>
          <w:tcPr>
            <w:tcW w:type="dxa" w:w="1440"/>
          </w:tcPr>
          <w:p>
            <w:pPr>
              <w:spacing w:before="40" w:after="40"/>
            </w:pPr>
            <w:r>
              <w:rPr>
                <w:rFonts w:ascii="Georgia" w:hAnsi="Georgia"/>
                <w:color w:val="333333"/>
                <w:sz w:val="20"/>
              </w:rPr>
              <w:t>1</w:t>
            </w:r>
          </w:p>
        </w:tc>
        <w:tc>
          <w:tcPr>
            <w:tcW w:type="dxa" w:w="1440"/>
          </w:tcPr>
          <w:p>
            <w:pPr>
              <w:spacing w:before="40" w:after="40"/>
            </w:pPr>
            <w:r>
              <w:rPr>
                <w:rFonts w:ascii="Georgia" w:hAnsi="Georgia"/>
                <w:color w:val="333333"/>
                <w:sz w:val="20"/>
              </w:rPr>
              <w:t>WE31</w:t>
            </w:r>
          </w:p>
        </w:tc>
        <w:tc>
          <w:tcPr>
            <w:tcW w:type="dxa" w:w="1440"/>
          </w:tcPr>
          <w:p>
            <w:pPr>
              <w:spacing w:before="40" w:after="40"/>
            </w:pPr>
            <w:r>
              <w:rPr>
                <w:rFonts w:ascii="Georgia" w:hAnsi="Georgia"/>
                <w:color w:val="333333"/>
                <w:sz w:val="20"/>
              </w:rPr>
              <w:t>Dept. of Defense / TETRA TECH INC</w:t>
            </w:r>
          </w:p>
        </w:tc>
        <w:tc>
          <w:tcPr>
            <w:tcW w:type="dxa" w:w="1440"/>
          </w:tcPr>
          <w:p>
            <w:pPr>
              <w:spacing w:before="40" w:after="40"/>
            </w:pPr>
            <w:r>
              <w:rPr>
                <w:rFonts w:ascii="Georgia" w:hAnsi="Georgia"/>
                <w:color w:val="333333"/>
                <w:sz w:val="20"/>
              </w:rPr>
              <w:t>us_federal</w:t>
            </w:r>
          </w:p>
        </w:tc>
        <w:tc>
          <w:tcPr>
            <w:tcW w:type="dxa" w:w="1440"/>
          </w:tcPr>
          <w:p>
            <w:pPr>
              <w:spacing w:before="40" w:after="40"/>
            </w:pPr>
            <w:r>
              <w:rPr>
                <w:rFonts w:ascii="Georgia" w:hAnsi="Georgia"/>
                <w:color w:val="333333"/>
                <w:sz w:val="20"/>
              </w:rPr>
              <w:t>GREEN</w:t>
            </w:r>
          </w:p>
        </w:tc>
        <w:tc>
          <w:tcPr>
            <w:tcW w:type="dxa" w:w="1440"/>
          </w:tcPr>
          <w:p>
            <w:pPr>
              <w:spacing w:before="40" w:after="40"/>
            </w:pPr>
            <w:r>
              <w:rPr>
                <w:rFonts w:ascii="Georgia" w:hAnsi="Georgia"/>
                <w:color w:val="333333"/>
                <w:sz w:val="20"/>
              </w:rPr>
              <w:t>0</w:t>
            </w:r>
          </w:p>
        </w:tc>
      </w:tr>
      <w:tr>
        <w:tc>
          <w:tcPr>
            <w:tcW w:type="dxa" w:w="1440"/>
          </w:tcPr>
          <w:p>
            <w:pPr>
              <w:spacing w:before="40" w:after="40"/>
            </w:pPr>
            <w:r>
              <w:rPr>
                <w:rFonts w:ascii="Georgia" w:hAnsi="Georgia"/>
                <w:color w:val="333333"/>
                <w:sz w:val="20"/>
              </w:rPr>
              <w:t>2</w:t>
            </w:r>
          </w:p>
        </w:tc>
        <w:tc>
          <w:tcPr>
            <w:tcW w:type="dxa" w:w="1440"/>
          </w:tcPr>
          <w:p>
            <w:pPr>
              <w:spacing w:before="40" w:after="40"/>
            </w:pPr>
            <w:r>
              <w:rPr>
                <w:rFonts w:ascii="Georgia" w:hAnsi="Georgia"/>
                <w:color w:val="333333"/>
                <w:sz w:val="20"/>
              </w:rPr>
              <w:t>75N91020F00014</w:t>
            </w:r>
          </w:p>
        </w:tc>
        <w:tc>
          <w:tcPr>
            <w:tcW w:type="dxa" w:w="1440"/>
          </w:tcPr>
          <w:p>
            <w:pPr>
              <w:spacing w:before="40" w:after="40"/>
            </w:pPr>
            <w:r>
              <w:rPr>
                <w:rFonts w:ascii="Georgia" w:hAnsi="Georgia"/>
                <w:color w:val="333333"/>
                <w:sz w:val="20"/>
              </w:rPr>
              <w:t>HHS / LEIDOS BIOMEDICAL RESEARCH</w:t>
            </w:r>
          </w:p>
        </w:tc>
        <w:tc>
          <w:tcPr>
            <w:tcW w:type="dxa" w:w="1440"/>
          </w:tcPr>
          <w:p>
            <w:pPr>
              <w:spacing w:before="40" w:after="40"/>
            </w:pPr>
            <w:r>
              <w:rPr>
                <w:rFonts w:ascii="Georgia" w:hAnsi="Georgia"/>
                <w:color w:val="333333"/>
                <w:sz w:val="20"/>
              </w:rPr>
              <w:t>us_federal</w:t>
            </w:r>
          </w:p>
        </w:tc>
        <w:tc>
          <w:tcPr>
            <w:tcW w:type="dxa" w:w="1440"/>
          </w:tcPr>
          <w:p>
            <w:pPr>
              <w:spacing w:before="40" w:after="40"/>
            </w:pPr>
            <w:r>
              <w:rPr>
                <w:rFonts w:ascii="Georgia" w:hAnsi="Georgia"/>
                <w:color w:val="333333"/>
                <w:sz w:val="20"/>
              </w:rPr>
              <w:t>YELLOW</w:t>
            </w:r>
          </w:p>
        </w:tc>
        <w:tc>
          <w:tcPr>
            <w:tcW w:type="dxa" w:w="1440"/>
          </w:tcPr>
          <w:p>
            <w:pPr>
              <w:spacing w:before="40" w:after="40"/>
            </w:pPr>
            <w:r>
              <w:rPr>
                <w:rFonts w:ascii="Georgia" w:hAnsi="Georgia"/>
                <w:color w:val="333333"/>
                <w:sz w:val="20"/>
              </w:rPr>
              <w:t>1</w:t>
            </w:r>
          </w:p>
        </w:tc>
      </w:tr>
      <w:tr>
        <w:tc>
          <w:tcPr>
            <w:tcW w:type="dxa" w:w="1440"/>
          </w:tcPr>
          <w:p>
            <w:pPr>
              <w:spacing w:before="40" w:after="40"/>
            </w:pPr>
            <w:r>
              <w:rPr>
                <w:rFonts w:ascii="Georgia" w:hAnsi="Georgia"/>
                <w:color w:val="333333"/>
                <w:sz w:val="20"/>
              </w:rPr>
              <w:t>3</w:t>
            </w:r>
          </w:p>
        </w:tc>
        <w:tc>
          <w:tcPr>
            <w:tcW w:type="dxa" w:w="1440"/>
          </w:tcPr>
          <w:p>
            <w:pPr>
              <w:spacing w:before="40" w:after="40"/>
            </w:pPr>
            <w:r>
              <w:rPr>
                <w:rFonts w:ascii="Georgia" w:hAnsi="Georgia"/>
                <w:color w:val="333333"/>
                <w:sz w:val="20"/>
              </w:rPr>
              <w:t>N0002417C2117</w:t>
            </w:r>
          </w:p>
        </w:tc>
        <w:tc>
          <w:tcPr>
            <w:tcW w:type="dxa" w:w="1440"/>
          </w:tcPr>
          <w:p>
            <w:pPr>
              <w:spacing w:before="40" w:after="40"/>
            </w:pPr>
            <w:r>
              <w:rPr>
                <w:rFonts w:ascii="Georgia" w:hAnsi="Georgia"/>
                <w:color w:val="333333"/>
                <w:sz w:val="20"/>
              </w:rPr>
              <w:t>Dept. of Defense / ELECTRIC BOAT CORP</w:t>
            </w:r>
          </w:p>
        </w:tc>
        <w:tc>
          <w:tcPr>
            <w:tcW w:type="dxa" w:w="1440"/>
          </w:tcPr>
          <w:p>
            <w:pPr>
              <w:spacing w:before="40" w:after="40"/>
            </w:pPr>
            <w:r>
              <w:rPr>
                <w:rFonts w:ascii="Georgia" w:hAnsi="Georgia"/>
                <w:color w:val="333333"/>
                <w:sz w:val="20"/>
              </w:rPr>
              <w:t>us_federal</w:t>
            </w:r>
          </w:p>
        </w:tc>
        <w:tc>
          <w:tcPr>
            <w:tcW w:type="dxa" w:w="1440"/>
          </w:tcPr>
          <w:p>
            <w:pPr>
              <w:spacing w:before="40" w:after="40"/>
            </w:pPr>
            <w:r>
              <w:rPr>
                <w:rFonts w:ascii="Georgia" w:hAnsi="Georgia"/>
                <w:color w:val="333333"/>
                <w:sz w:val="20"/>
              </w:rPr>
              <w:t>RED</w:t>
            </w:r>
          </w:p>
        </w:tc>
        <w:tc>
          <w:tcPr>
            <w:tcW w:type="dxa" w:w="1440"/>
          </w:tcPr>
          <w:p>
            <w:pPr>
              <w:spacing w:before="40" w:after="40"/>
            </w:pPr>
            <w:r>
              <w:rPr>
                <w:rFonts w:ascii="Georgia" w:hAnsi="Georgia"/>
                <w:color w:val="333333"/>
                <w:sz w:val="20"/>
              </w:rPr>
              <w:t>2</w:t>
            </w:r>
          </w:p>
        </w:tc>
      </w:tr>
      <w:tr>
        <w:tc>
          <w:tcPr>
            <w:tcW w:type="dxa" w:w="1440"/>
          </w:tcPr>
          <w:p>
            <w:pPr>
              <w:spacing w:before="40" w:after="40"/>
            </w:pPr>
            <w:r>
              <w:rPr>
                <w:rFonts w:ascii="Georgia" w:hAnsi="Georgia"/>
                <w:color w:val="333333"/>
                <w:sz w:val="20"/>
              </w:rPr>
              <w:t>4</w:t>
            </w:r>
          </w:p>
        </w:tc>
        <w:tc>
          <w:tcPr>
            <w:tcW w:type="dxa" w:w="1440"/>
          </w:tcPr>
          <w:p>
            <w:pPr>
              <w:spacing w:before="40" w:after="40"/>
            </w:pPr>
            <w:r>
              <w:rPr>
                <w:rFonts w:ascii="Georgia" w:hAnsi="Georgia"/>
                <w:color w:val="333333"/>
                <w:sz w:val="20"/>
              </w:rPr>
              <w:t>US_v_Boeing_2006</w:t>
            </w:r>
          </w:p>
        </w:tc>
        <w:tc>
          <w:tcPr>
            <w:tcW w:type="dxa" w:w="1440"/>
          </w:tcPr>
          <w:p>
            <w:pPr>
              <w:spacing w:before="40" w:after="40"/>
            </w:pPr>
            <w:r>
              <w:rPr>
                <w:rFonts w:ascii="Georgia" w:hAnsi="Georgia"/>
                <w:color w:val="333333"/>
                <w:sz w:val="20"/>
              </w:rPr>
              <w:t>Dept. of Defense / Boeing Company</w:t>
            </w:r>
          </w:p>
        </w:tc>
        <w:tc>
          <w:tcPr>
            <w:tcW w:type="dxa" w:w="1440"/>
          </w:tcPr>
          <w:p>
            <w:pPr>
              <w:spacing w:before="40" w:after="40"/>
            </w:pPr>
            <w:r>
              <w:rPr>
                <w:rFonts w:ascii="Georgia" w:hAnsi="Georgia"/>
                <w:color w:val="333333"/>
                <w:sz w:val="20"/>
              </w:rPr>
              <w:t>us_federal</w:t>
            </w:r>
          </w:p>
        </w:tc>
        <w:tc>
          <w:tcPr>
            <w:tcW w:type="dxa" w:w="1440"/>
          </w:tcPr>
          <w:p>
            <w:pPr>
              <w:spacing w:before="40" w:after="40"/>
            </w:pPr>
            <w:r>
              <w:rPr>
                <w:rFonts w:ascii="Georgia" w:hAnsi="Georgia"/>
                <w:color w:val="333333"/>
                <w:sz w:val="20"/>
              </w:rPr>
              <w:t>RED</w:t>
            </w:r>
          </w:p>
        </w:tc>
        <w:tc>
          <w:tcPr>
            <w:tcW w:type="dxa" w:w="1440"/>
          </w:tcPr>
          <w:p>
            <w:pPr>
              <w:spacing w:before="40" w:after="40"/>
            </w:pPr>
            <w:r>
              <w:rPr>
                <w:rFonts w:ascii="Georgia" w:hAnsi="Georgia"/>
                <w:color w:val="333333"/>
                <w:sz w:val="20"/>
              </w:rPr>
              <w:t>2</w:t>
            </w:r>
          </w:p>
        </w:tc>
      </w:tr>
      <w:tr>
        <w:tc>
          <w:tcPr>
            <w:tcW w:type="dxa" w:w="1440"/>
          </w:tcPr>
          <w:p>
            <w:pPr>
              <w:spacing w:before="40" w:after="40"/>
            </w:pPr>
            <w:r>
              <w:rPr>
                <w:rFonts w:ascii="Georgia" w:hAnsi="Georgia"/>
                <w:color w:val="333333"/>
                <w:sz w:val="20"/>
              </w:rPr>
              <w:t>5a</w:t>
            </w:r>
          </w:p>
        </w:tc>
        <w:tc>
          <w:tcPr>
            <w:tcW w:type="dxa" w:w="1440"/>
          </w:tcPr>
          <w:p>
            <w:pPr>
              <w:spacing w:before="40" w:after="40"/>
            </w:pPr>
            <w:r>
              <w:rPr>
                <w:rFonts w:ascii="Georgia" w:hAnsi="Georgia"/>
                <w:color w:val="333333"/>
                <w:sz w:val="20"/>
              </w:rPr>
              <w:t>W9113M08C0031</w:t>
            </w:r>
          </w:p>
        </w:tc>
        <w:tc>
          <w:tcPr>
            <w:tcW w:type="dxa" w:w="1440"/>
          </w:tcPr>
          <w:p>
            <w:pPr>
              <w:spacing w:before="40" w:after="40"/>
            </w:pPr>
            <w:r>
              <w:rPr>
                <w:rFonts w:ascii="Georgia" w:hAnsi="Georgia"/>
                <w:color w:val="333333"/>
                <w:sz w:val="20"/>
              </w:rPr>
              <w:t>Dept. of Defense / CONCURRENT TECH</w:t>
            </w:r>
          </w:p>
        </w:tc>
        <w:tc>
          <w:tcPr>
            <w:tcW w:type="dxa" w:w="1440"/>
          </w:tcPr>
          <w:p>
            <w:pPr>
              <w:spacing w:before="40" w:after="40"/>
            </w:pPr>
            <w:r>
              <w:rPr>
                <w:rFonts w:ascii="Georgia" w:hAnsi="Georgia"/>
                <w:color w:val="333333"/>
                <w:sz w:val="20"/>
              </w:rPr>
              <w:t>us_federal</w:t>
            </w:r>
          </w:p>
        </w:tc>
        <w:tc>
          <w:tcPr>
            <w:tcW w:type="dxa" w:w="1440"/>
          </w:tcPr>
          <w:p>
            <w:pPr>
              <w:spacing w:before="40" w:after="40"/>
            </w:pPr>
            <w:r>
              <w:rPr>
                <w:rFonts w:ascii="Georgia" w:hAnsi="Georgia"/>
                <w:color w:val="333333"/>
                <w:sz w:val="20"/>
              </w:rPr>
              <w:t>YELLOW</w:t>
            </w:r>
          </w:p>
        </w:tc>
        <w:tc>
          <w:tcPr>
            <w:tcW w:type="dxa" w:w="1440"/>
          </w:tcPr>
          <w:p>
            <w:pPr>
              <w:spacing w:before="40" w:after="40"/>
            </w:pPr>
            <w:r>
              <w:rPr>
                <w:rFonts w:ascii="Georgia" w:hAnsi="Georgia"/>
                <w:color w:val="333333"/>
                <w:sz w:val="20"/>
              </w:rPr>
              <w:t>1</w:t>
            </w:r>
          </w:p>
        </w:tc>
      </w:tr>
      <w:tr>
        <w:tc>
          <w:tcPr>
            <w:tcW w:type="dxa" w:w="1440"/>
          </w:tcPr>
          <w:p>
            <w:pPr>
              <w:spacing w:before="40" w:after="40"/>
            </w:pPr>
            <w:r>
              <w:rPr>
                <w:rFonts w:ascii="Georgia" w:hAnsi="Georgia"/>
                <w:color w:val="333333"/>
                <w:sz w:val="20"/>
              </w:rPr>
              <w:t>5b</w:t>
            </w:r>
          </w:p>
        </w:tc>
        <w:tc>
          <w:tcPr>
            <w:tcW w:type="dxa" w:w="1440"/>
          </w:tcPr>
          <w:p>
            <w:pPr>
              <w:spacing w:before="40" w:after="40"/>
            </w:pPr>
            <w:r>
              <w:rPr>
                <w:rFonts w:ascii="Georgia" w:hAnsi="Georgia"/>
                <w:color w:val="333333"/>
                <w:sz w:val="20"/>
              </w:rPr>
              <w:t>W9113M08C0031</w:t>
            </w:r>
          </w:p>
        </w:tc>
        <w:tc>
          <w:tcPr>
            <w:tcW w:type="dxa" w:w="1440"/>
          </w:tcPr>
          <w:p>
            <w:pPr>
              <w:spacing w:before="40" w:after="40"/>
            </w:pPr>
            <w:r>
              <w:rPr>
                <w:rFonts w:ascii="Georgia" w:hAnsi="Georgia"/>
                <w:color w:val="333333"/>
                <w:sz w:val="20"/>
              </w:rPr>
              <w:t>Dept. of Defense / CONCURRENT TECH</w:t>
            </w:r>
          </w:p>
        </w:tc>
        <w:tc>
          <w:tcPr>
            <w:tcW w:type="dxa" w:w="1440"/>
          </w:tcPr>
          <w:p>
            <w:pPr>
              <w:spacing w:before="40" w:after="40"/>
            </w:pPr>
            <w:r>
              <w:rPr>
                <w:rFonts w:ascii="Georgia" w:hAnsi="Georgia"/>
                <w:color w:val="333333"/>
                <w:sz w:val="20"/>
              </w:rPr>
              <w:t>uk_central_gov</w:t>
            </w:r>
          </w:p>
        </w:tc>
        <w:tc>
          <w:tcPr>
            <w:tcW w:type="dxa" w:w="1440"/>
          </w:tcPr>
          <w:p>
            <w:pPr>
              <w:spacing w:before="40" w:after="40"/>
            </w:pPr>
            <w:r>
              <w:rPr>
                <w:rFonts w:ascii="Georgia" w:hAnsi="Georgia"/>
                <w:color w:val="333333"/>
                <w:sz w:val="20"/>
              </w:rPr>
              <w:t>RED</w:t>
            </w:r>
          </w:p>
        </w:tc>
        <w:tc>
          <w:tcPr>
            <w:tcW w:type="dxa" w:w="1440"/>
          </w:tcPr>
          <w:p>
            <w:pPr>
              <w:spacing w:before="40" w:after="40"/>
            </w:pPr>
            <w:r>
              <w:rPr>
                <w:rFonts w:ascii="Georgia" w:hAnsi="Georgia"/>
                <w:color w:val="333333"/>
                <w:sz w:val="20"/>
              </w:rPr>
              <w:t>2</w:t>
            </w:r>
          </w:p>
        </w:tc>
      </w:tr>
    </w:tbl>
    <w:p>
      <w:r>
        <w:br w:type="page"/>
      </w:r>
    </w:p>
    <w:p>
      <w:pPr>
        <w:pStyle w:val="Heading1"/>
      </w:pPr>
      <w:r>
        <w:t>Case 1: GREEN Baseline</w:t>
      </w:r>
    </w:p>
    <w:p>
      <w:pPr>
        <w:spacing w:before="40" w:after="120"/>
        <w:pBdr>
          <w:bottom w:val="single" w:sz="4" w:space="1" w:color="1A2A44"/>
        </w:pBdr>
      </w:pPr>
    </w:p>
    <w:p>
      <w:pPr>
        <w:pStyle w:val="Heading2"/>
      </w:pPr>
      <w:r>
        <w:t>I. Contract Identification</w:t>
      </w:r>
    </w:p>
    <w:tbl>
      <w:tblPr>
        <w:tblW w:type="auto" w:w="0"/>
        <w:jc w:val="left"/>
        <w:tblLook w:firstColumn="1" w:firstRow="1" w:lastColumn="0" w:lastRow="0" w:noHBand="0" w:noVBand="1" w:val="04A0"/>
        <w:tblBorders>
          <w:top w:val="single" w:sz="4" w:space="0" w:color="1A2A44"/>
          <w:bottom w:val="single" w:sz="4" w:space="0" w:color="1A2A44"/>
          <w:insideH w:val="none" w:sz="0" w:space="0" w:color="auto"/>
          <w:insideV w:val="none" w:sz="0" w:space="0" w:color="auto"/>
          <w:left w:val="none" w:sz="0" w:space="0" w:color="auto"/>
          <w:right w:val="none" w:sz="0" w:space="0" w:color="auto"/>
        </w:tblBorders>
      </w:tblPr>
      <w:tblGrid>
        <w:gridCol w:w="4320"/>
        <w:gridCol w:w="4320"/>
      </w:tblGrid>
      <w:tr>
        <w:tc>
          <w:tcPr>
            <w:tcW w:type="dxa" w:w="4320"/>
          </w:tcPr>
          <w:p>
            <w:pPr>
              <w:spacing w:before="40" w:after="40"/>
            </w:pPr>
            <w:r>
              <w:rPr>
                <w:rFonts w:ascii="Georgia" w:hAnsi="Georgia"/>
                <w:b/>
                <w:color w:val="333333"/>
                <w:sz w:val="20"/>
              </w:rPr>
              <w:t>Awarding agency</w:t>
            </w:r>
          </w:p>
        </w:tc>
        <w:tc>
          <w:tcPr>
            <w:tcW w:type="dxa" w:w="4320"/>
          </w:tcPr>
          <w:p>
            <w:pPr>
              <w:spacing w:before="40" w:after="40"/>
            </w:pPr>
            <w:r>
              <w:rPr>
                <w:rFonts w:ascii="Georgia" w:hAnsi="Georgia"/>
                <w:color w:val="333333"/>
                <w:sz w:val="20"/>
              </w:rPr>
              <w:t>Department of Defense</w:t>
            </w:r>
          </w:p>
        </w:tc>
      </w:tr>
      <w:tr>
        <w:tc>
          <w:tcPr>
            <w:tcW w:type="dxa" w:w="4320"/>
          </w:tcPr>
          <w:p>
            <w:pPr>
              <w:spacing w:before="40" w:after="40"/>
            </w:pPr>
            <w:r>
              <w:rPr>
                <w:rFonts w:ascii="Georgia" w:hAnsi="Georgia"/>
                <w:b/>
                <w:color w:val="333333"/>
                <w:sz w:val="20"/>
              </w:rPr>
              <w:t>Vendor</w:t>
            </w:r>
          </w:p>
        </w:tc>
        <w:tc>
          <w:tcPr>
            <w:tcW w:type="dxa" w:w="4320"/>
          </w:tcPr>
          <w:p>
            <w:pPr>
              <w:spacing w:before="40" w:after="40"/>
            </w:pPr>
            <w:r>
              <w:rPr>
                <w:rFonts w:ascii="Georgia" w:hAnsi="Georgia"/>
                <w:color w:val="333333"/>
                <w:sz w:val="20"/>
              </w:rPr>
              <w:t>TETRA TECH INC</w:t>
            </w:r>
          </w:p>
        </w:tc>
      </w:tr>
      <w:tr>
        <w:tc>
          <w:tcPr>
            <w:tcW w:type="dxa" w:w="4320"/>
          </w:tcPr>
          <w:p>
            <w:pPr>
              <w:spacing w:before="40" w:after="40"/>
            </w:pPr>
            <w:r>
              <w:rPr>
                <w:rFonts w:ascii="Georgia" w:hAnsi="Georgia"/>
                <w:b/>
                <w:color w:val="333333"/>
                <w:sz w:val="20"/>
              </w:rPr>
              <w:t>Contract value</w:t>
            </w:r>
          </w:p>
        </w:tc>
        <w:tc>
          <w:tcPr>
            <w:tcW w:type="dxa" w:w="4320"/>
          </w:tcPr>
          <w:p>
            <w:pPr>
              <w:spacing w:before="40" w:after="40"/>
            </w:pPr>
            <w:r>
              <w:rPr>
                <w:rFonts w:ascii="Georgia" w:hAnsi="Georgia"/>
                <w:color w:val="333333"/>
                <w:sz w:val="20"/>
              </w:rPr>
              <w:t>USD 3,080,692</w:t>
            </w:r>
          </w:p>
        </w:tc>
      </w:tr>
      <w:tr>
        <w:tc>
          <w:tcPr>
            <w:tcW w:type="dxa" w:w="4320"/>
          </w:tcPr>
          <w:p>
            <w:pPr>
              <w:spacing w:before="40" w:after="40"/>
            </w:pPr>
            <w:r>
              <w:rPr>
                <w:rFonts w:ascii="Georgia" w:hAnsi="Georgia"/>
                <w:b/>
                <w:color w:val="333333"/>
                <w:sz w:val="20"/>
              </w:rPr>
              <w:t>Award date</w:t>
            </w:r>
          </w:p>
        </w:tc>
        <w:tc>
          <w:tcPr>
            <w:tcW w:type="dxa" w:w="4320"/>
          </w:tcPr>
          <w:p>
            <w:pPr>
              <w:spacing w:before="40" w:after="40"/>
            </w:pPr>
            <w:r>
              <w:rPr>
                <w:rFonts w:ascii="Georgia" w:hAnsi="Georgia"/>
                <w:color w:val="333333"/>
                <w:sz w:val="20"/>
              </w:rPr>
              <w:t>2017-05-26</w:t>
            </w:r>
          </w:p>
        </w:tc>
      </w:tr>
      <w:tr>
        <w:tc>
          <w:tcPr>
            <w:tcW w:type="dxa" w:w="4320"/>
          </w:tcPr>
          <w:p>
            <w:pPr>
              <w:spacing w:before="40" w:after="40"/>
            </w:pPr>
            <w:r>
              <w:rPr>
                <w:rFonts w:ascii="Georgia" w:hAnsi="Georgia"/>
                <w:b/>
                <w:color w:val="333333"/>
                <w:sz w:val="20"/>
              </w:rPr>
              <w:t>Description</w:t>
            </w:r>
          </w:p>
        </w:tc>
        <w:tc>
          <w:tcPr>
            <w:tcW w:type="dxa" w:w="4320"/>
          </w:tcPr>
          <w:p>
            <w:pPr>
              <w:spacing w:before="40" w:after="40"/>
            </w:pPr>
            <w:r>
              <w:rPr>
                <w:rFonts w:ascii="Georgia" w:hAnsi="Georgia"/>
                <w:color w:val="333333"/>
                <w:sz w:val="20"/>
              </w:rPr>
              <w:t>IGF::OT::IGF NWS EARLE FY17 BASEWIDE SUPPORT</w:t>
            </w:r>
          </w:p>
        </w:tc>
      </w:tr>
      <w:tr>
        <w:tc>
          <w:tcPr>
            <w:tcW w:type="dxa" w:w="4320"/>
          </w:tcPr>
          <w:p>
            <w:pPr>
              <w:spacing w:before="40" w:after="40"/>
            </w:pPr>
            <w:r>
              <w:rPr>
                <w:rFonts w:ascii="Georgia" w:hAnsi="Georgia"/>
                <w:b/>
                <w:color w:val="333333"/>
                <w:sz w:val="20"/>
              </w:rPr>
              <w:t>Procurement method</w:t>
            </w:r>
          </w:p>
        </w:tc>
        <w:tc>
          <w:tcPr>
            <w:tcW w:type="dxa" w:w="4320"/>
          </w:tcPr>
          <w:p>
            <w:pPr>
              <w:spacing w:before="40" w:after="40"/>
            </w:pPr>
            <w:r>
              <w:rPr>
                <w:rFonts w:ascii="Georgia" w:hAnsi="Georgia"/>
                <w:color w:val="333333"/>
                <w:sz w:val="20"/>
              </w:rPr>
              <w:t>open</w:t>
            </w:r>
          </w:p>
        </w:tc>
      </w:tr>
    </w:tbl>
    <w:p>
      <w:pPr>
        <w:pStyle w:val="Heading2"/>
      </w:pPr>
      <w:r>
        <w:t>II. Verdict</w:t>
      </w:r>
    </w:p>
    <w:p>
      <w:r>
        <w:t>The Evidence Verification Gate returned a GREEN verdict. No evidence dimension exceeded its applicable threshold under the us_federal_v0 parameter set.</w:t>
      </w:r>
    </w:p>
    <w:p>
      <w:pPr>
        <w:pStyle w:val="Heading2"/>
      </w:pPr>
      <w:r>
        <w:t>III. Evidence Dimensions</w:t>
      </w:r>
    </w:p>
    <w:tbl>
      <w:tblPr>
        <w:tblW w:type="auto" w:w="0"/>
        <w:jc w:val="left"/>
        <w:tblLook w:firstColumn="1" w:firstRow="1" w:lastColumn="0" w:lastRow="0" w:noHBand="0" w:noVBand="1" w:val="04A0"/>
        <w:tblBorders>
          <w:top w:val="single" w:sz="4" w:space="0" w:color="1A2A44"/>
          <w:bottom w:val="single" w:sz="4" w:space="0" w:color="1A2A44"/>
          <w:insideH w:val="none" w:sz="0" w:space="0" w:color="auto"/>
          <w:insideV w:val="none" w:sz="0" w:space="0" w:color="auto"/>
          <w:left w:val="none" w:sz="0" w:space="0" w:color="auto"/>
          <w:right w:val="none" w:sz="0" w:space="0" w:color="auto"/>
        </w:tblBorders>
      </w:tblPr>
      <w:tblGrid>
        <w:gridCol w:w="2160"/>
        <w:gridCol w:w="2160"/>
        <w:gridCol w:w="2160"/>
        <w:gridCol w:w="2160"/>
      </w:tblGrid>
      <w:tr>
        <w:tc>
          <w:tcPr>
            <w:tcW w:type="dxa" w:w="2160"/>
            <w:shd w:fill="F5F5F5" w:val="clear"/>
            <w:tcBorders>
              <w:bottom w:val="single" w:sz="4" w:space="0" w:color="1A2A44"/>
            </w:tcBorders>
          </w:tcPr>
          <w:p>
            <w:pPr>
              <w:spacing w:before="40" w:after="40"/>
            </w:pPr>
            <w:r>
              <w:rPr>
                <w:rFonts w:ascii="Georgia" w:hAnsi="Georgia"/>
                <w:b/>
                <w:color w:val="333333"/>
                <w:sz w:val="20"/>
              </w:rPr>
              <w:t>Dimension</w:t>
            </w:r>
          </w:p>
        </w:tc>
        <w:tc>
          <w:tcPr>
            <w:tcW w:type="dxa" w:w="2160"/>
            <w:shd w:fill="F5F5F5" w:val="clear"/>
            <w:tcBorders>
              <w:bottom w:val="single" w:sz="4" w:space="0" w:color="1A2A44"/>
            </w:tcBorders>
          </w:tcPr>
          <w:p>
            <w:pPr>
              <w:spacing w:before="40" w:after="40"/>
            </w:pPr>
            <w:r>
              <w:rPr>
                <w:rFonts w:ascii="Georgia" w:hAnsi="Georgia"/>
                <w:b/>
                <w:color w:val="333333"/>
                <w:sz w:val="20"/>
              </w:rPr>
              <w:t>Observed Value</w:t>
            </w:r>
          </w:p>
        </w:tc>
        <w:tc>
          <w:tcPr>
            <w:tcW w:type="dxa" w:w="2160"/>
            <w:shd w:fill="F5F5F5" w:val="clear"/>
            <w:tcBorders>
              <w:bottom w:val="single" w:sz="4" w:space="0" w:color="1A2A44"/>
            </w:tcBorders>
          </w:tcPr>
          <w:p>
            <w:pPr>
              <w:spacing w:before="40" w:after="40"/>
            </w:pPr>
            <w:r>
              <w:rPr>
                <w:rFonts w:ascii="Georgia" w:hAnsi="Georgia"/>
                <w:b/>
                <w:color w:val="333333"/>
                <w:sz w:val="20"/>
              </w:rPr>
              <w:t>Threshold</w:t>
            </w:r>
          </w:p>
        </w:tc>
        <w:tc>
          <w:tcPr>
            <w:tcW w:type="dxa" w:w="2160"/>
            <w:shd w:fill="F5F5F5" w:val="clear"/>
            <w:tcBorders>
              <w:bottom w:val="single" w:sz="4" w:space="0" w:color="1A2A44"/>
            </w:tcBorders>
          </w:tcPr>
          <w:p>
            <w:pPr>
              <w:spacing w:before="40" w:after="40"/>
            </w:pPr>
            <w:r>
              <w:rPr>
                <w:rFonts w:ascii="Georgia" w:hAnsi="Georgia"/>
                <w:b/>
                <w:color w:val="333333"/>
                <w:sz w:val="20"/>
              </w:rPr>
              <w:t>Status</w:t>
            </w:r>
          </w:p>
        </w:tc>
      </w:tr>
      <w:tr>
        <w:tc>
          <w:tcPr>
            <w:tcW w:type="dxa" w:w="2160"/>
          </w:tcPr>
          <w:p>
            <w:pPr>
              <w:spacing w:before="40" w:after="40"/>
            </w:pPr>
            <w:r>
              <w:rPr>
                <w:rFonts w:ascii="Georgia" w:hAnsi="Georgia"/>
                <w:color w:val="333333"/>
                <w:sz w:val="20"/>
              </w:rPr>
              <w:t>CRI Markup Ratio</w:t>
            </w:r>
          </w:p>
        </w:tc>
        <w:tc>
          <w:tcPr>
            <w:tcW w:type="dxa" w:w="2160"/>
          </w:tcPr>
          <w:p>
            <w:pPr>
              <w:spacing w:before="40" w:after="40"/>
            </w:pPr>
            <w:r>
              <w:rPr>
                <w:rFonts w:ascii="Georgia" w:hAnsi="Georgia"/>
                <w:color w:val="333333"/>
                <w:sz w:val="20"/>
              </w:rPr>
              <w:t>-0.8759</w:t>
            </w:r>
          </w:p>
        </w:tc>
        <w:tc>
          <w:tcPr>
            <w:tcW w:type="dxa" w:w="2160"/>
          </w:tcPr>
          <w:p>
            <w:pPr>
              <w:spacing w:before="40" w:after="40"/>
            </w:pPr>
            <w:r>
              <w:rPr>
                <w:rFonts w:ascii="Georgia" w:hAnsi="Georgia"/>
                <w:color w:val="333333"/>
                <w:sz w:val="20"/>
              </w:rPr>
              <w:t>0.7500</w:t>
            </w:r>
          </w:p>
        </w:tc>
        <w:tc>
          <w:tcPr>
            <w:tcW w:type="dxa" w:w="2160"/>
          </w:tcPr>
          <w:p>
            <w:pPr>
              <w:spacing w:before="40" w:after="40"/>
            </w:pPr>
            <w:r>
              <w:rPr>
                <w:rFonts w:ascii="Georgia" w:hAnsi="Georgia"/>
                <w:color w:val="333333"/>
                <w:sz w:val="20"/>
              </w:rPr>
              <w:t>Below threshold</w:t>
            </w:r>
          </w:p>
        </w:tc>
      </w:tr>
      <w:tr>
        <w:tc>
          <w:tcPr>
            <w:tcW w:type="dxa" w:w="2160"/>
          </w:tcPr>
          <w:p>
            <w:pPr>
              <w:spacing w:before="40" w:after="40"/>
            </w:pPr>
            <w:r>
              <w:rPr>
                <w:rFonts w:ascii="Georgia" w:hAnsi="Georgia"/>
                <w:color w:val="333333"/>
                <w:sz w:val="20"/>
              </w:rPr>
              <w:t>CRI Bribery Channel</w:t>
            </w:r>
          </w:p>
        </w:tc>
        <w:tc>
          <w:tcPr>
            <w:tcW w:type="dxa" w:w="2160"/>
          </w:tcPr>
          <w:p>
            <w:pPr>
              <w:spacing w:before="40" w:after="40"/>
            </w:pPr>
            <w:r>
              <w:rPr>
                <w:rFonts w:ascii="Georgia" w:hAnsi="Georgia"/>
                <w:color w:val="333333"/>
                <w:sz w:val="20"/>
              </w:rPr>
              <w:t>N/A</w:t>
            </w:r>
          </w:p>
        </w:tc>
        <w:tc>
          <w:tcPr>
            <w:tcW w:type="dxa" w:w="2160"/>
          </w:tcPr>
          <w:p>
            <w:pPr>
              <w:spacing w:before="40" w:after="40"/>
            </w:pPr>
            <w:r>
              <w:rPr>
                <w:rFonts w:ascii="Georgia" w:hAnsi="Georgia"/>
                <w:color w:val="333333"/>
                <w:sz w:val="20"/>
              </w:rPr>
              <w:t>N/A</w:t>
            </w:r>
          </w:p>
        </w:tc>
        <w:tc>
          <w:tcPr>
            <w:tcW w:type="dxa" w:w="2160"/>
          </w:tcPr>
          <w:p>
            <w:pPr>
              <w:spacing w:before="40" w:after="40"/>
            </w:pPr>
            <w:r>
              <w:rPr>
                <w:rFonts w:ascii="Georgia" w:hAnsi="Georgia"/>
                <w:color w:val="333333"/>
                <w:sz w:val="20"/>
              </w:rPr>
              <w:t>Below threshold</w:t>
            </w:r>
          </w:p>
        </w:tc>
      </w:tr>
      <w:tr>
        <w:tc>
          <w:tcPr>
            <w:tcW w:type="dxa" w:w="2160"/>
          </w:tcPr>
          <w:p>
            <w:pPr>
              <w:spacing w:before="40" w:after="40"/>
            </w:pPr>
            <w:r>
              <w:rPr>
                <w:rFonts w:ascii="Georgia" w:hAnsi="Georgia"/>
                <w:color w:val="333333"/>
                <w:sz w:val="20"/>
              </w:rPr>
              <w:t>TCA Typologies</w:t>
            </w:r>
          </w:p>
        </w:tc>
        <w:tc>
          <w:tcPr>
            <w:tcW w:type="dxa" w:w="2160"/>
          </w:tcPr>
          <w:p>
            <w:pPr>
              <w:spacing w:before="40" w:after="40"/>
            </w:pPr>
            <w:r>
              <w:rPr>
                <w:rFonts w:ascii="Georgia" w:hAnsi="Georgia"/>
                <w:color w:val="333333"/>
                <w:sz w:val="20"/>
              </w:rPr>
              <w:t>0</w:t>
            </w:r>
          </w:p>
        </w:tc>
        <w:tc>
          <w:tcPr>
            <w:tcW w:type="dxa" w:w="2160"/>
          </w:tcPr>
          <w:p>
            <w:pPr>
              <w:spacing w:before="40" w:after="40"/>
            </w:pPr>
            <w:r>
              <w:rPr>
                <w:rFonts w:ascii="Georgia" w:hAnsi="Georgia"/>
                <w:color w:val="333333"/>
                <w:sz w:val="20"/>
              </w:rPr>
              <w:t>2</w:t>
            </w:r>
          </w:p>
        </w:tc>
        <w:tc>
          <w:tcPr>
            <w:tcW w:type="dxa" w:w="2160"/>
          </w:tcPr>
          <w:p>
            <w:pPr>
              <w:spacing w:before="40" w:after="40"/>
            </w:pPr>
            <w:r>
              <w:rPr>
                <w:rFonts w:ascii="Georgia" w:hAnsi="Georgia"/>
                <w:color w:val="333333"/>
                <w:sz w:val="20"/>
              </w:rPr>
              <w:t>Below threshold</w:t>
            </w:r>
          </w:p>
        </w:tc>
      </w:tr>
    </w:tbl>
    <w:p>
      <w:pPr>
        <w:pStyle w:val="Heading2"/>
      </w:pPr>
      <w:r>
        <w:t>IV. Structural Findings</w:t>
      </w:r>
    </w:p>
    <w:p>
      <w:r>
        <w:t>No structural contradiction rules fired under this profile. This case establishes the analytical baseline: a contract with no structural risk indicators under any of the three engine dimensions.</w:t>
      </w:r>
    </w:p>
    <w:p>
      <w:pPr>
        <w:pStyle w:val="Heading2"/>
      </w:pPr>
      <w:r>
        <w:t>V. Reproducibility</w:t>
      </w:r>
    </w:p>
    <w:p>
      <w:r>
        <w:t>Analysis timestamp: 2026-04-14T13:57:59.702495+00:00. Processing time: 1817.9 ms. Full ContractDossier available in demo/contracts_analyzed.json.</w:t>
      </w:r>
    </w:p>
    <w:p>
      <w:r>
        <w:br w:type="page"/>
      </w:r>
    </w:p>
    <w:p>
      <w:pPr>
        <w:pStyle w:val="Heading1"/>
      </w:pPr>
      <w:r>
        <w:t>Case 2: YELLOW Single-Dimension Finding</w:t>
      </w:r>
    </w:p>
    <w:p>
      <w:pPr>
        <w:spacing w:before="40" w:after="120"/>
        <w:pBdr>
          <w:bottom w:val="single" w:sz="4" w:space="1" w:color="1A2A44"/>
        </w:pBdr>
      </w:pPr>
    </w:p>
    <w:p>
      <w:pPr>
        <w:pStyle w:val="Heading2"/>
      </w:pPr>
      <w:r>
        <w:t>I. Contract Identification</w:t>
      </w:r>
    </w:p>
    <w:tbl>
      <w:tblPr>
        <w:tblW w:type="auto" w:w="0"/>
        <w:jc w:val="left"/>
        <w:tblLook w:firstColumn="1" w:firstRow="1" w:lastColumn="0" w:lastRow="0" w:noHBand="0" w:noVBand="1" w:val="04A0"/>
        <w:tblBorders>
          <w:top w:val="single" w:sz="4" w:space="0" w:color="1A2A44"/>
          <w:bottom w:val="single" w:sz="4" w:space="0" w:color="1A2A44"/>
          <w:insideH w:val="none" w:sz="0" w:space="0" w:color="auto"/>
          <w:insideV w:val="none" w:sz="0" w:space="0" w:color="auto"/>
          <w:left w:val="none" w:sz="0" w:space="0" w:color="auto"/>
          <w:right w:val="none" w:sz="0" w:space="0" w:color="auto"/>
        </w:tblBorders>
      </w:tblPr>
      <w:tblGrid>
        <w:gridCol w:w="4320"/>
        <w:gridCol w:w="4320"/>
      </w:tblGrid>
      <w:tr>
        <w:tc>
          <w:tcPr>
            <w:tcW w:type="dxa" w:w="4320"/>
          </w:tcPr>
          <w:p>
            <w:pPr>
              <w:spacing w:before="40" w:after="40"/>
            </w:pPr>
            <w:r>
              <w:rPr>
                <w:rFonts w:ascii="Georgia" w:hAnsi="Georgia"/>
                <w:b/>
                <w:color w:val="333333"/>
                <w:sz w:val="20"/>
              </w:rPr>
              <w:t>Awarding agency</w:t>
            </w:r>
          </w:p>
        </w:tc>
        <w:tc>
          <w:tcPr>
            <w:tcW w:type="dxa" w:w="4320"/>
          </w:tcPr>
          <w:p>
            <w:pPr>
              <w:spacing w:before="40" w:after="40"/>
            </w:pPr>
            <w:r>
              <w:rPr>
                <w:rFonts w:ascii="Georgia" w:hAnsi="Georgia"/>
                <w:color w:val="333333"/>
                <w:sz w:val="20"/>
              </w:rPr>
              <w:t>Department of Health and Human Services</w:t>
            </w:r>
          </w:p>
        </w:tc>
      </w:tr>
      <w:tr>
        <w:tc>
          <w:tcPr>
            <w:tcW w:type="dxa" w:w="4320"/>
          </w:tcPr>
          <w:p>
            <w:pPr>
              <w:spacing w:before="40" w:after="40"/>
            </w:pPr>
            <w:r>
              <w:rPr>
                <w:rFonts w:ascii="Georgia" w:hAnsi="Georgia"/>
                <w:b/>
                <w:color w:val="333333"/>
                <w:sz w:val="20"/>
              </w:rPr>
              <w:t>Vendor</w:t>
            </w:r>
          </w:p>
        </w:tc>
        <w:tc>
          <w:tcPr>
            <w:tcW w:type="dxa" w:w="4320"/>
          </w:tcPr>
          <w:p>
            <w:pPr>
              <w:spacing w:before="40" w:after="40"/>
            </w:pPr>
            <w:r>
              <w:rPr>
                <w:rFonts w:ascii="Georgia" w:hAnsi="Georgia"/>
                <w:color w:val="333333"/>
                <w:sz w:val="20"/>
              </w:rPr>
              <w:t>LEIDOS BIOMEDICAL RESEARCH INC</w:t>
            </w:r>
          </w:p>
        </w:tc>
      </w:tr>
      <w:tr>
        <w:tc>
          <w:tcPr>
            <w:tcW w:type="dxa" w:w="4320"/>
          </w:tcPr>
          <w:p>
            <w:pPr>
              <w:spacing w:before="40" w:after="40"/>
            </w:pPr>
            <w:r>
              <w:rPr>
                <w:rFonts w:ascii="Georgia" w:hAnsi="Georgia"/>
                <w:b/>
                <w:color w:val="333333"/>
                <w:sz w:val="20"/>
              </w:rPr>
              <w:t>Contract value</w:t>
            </w:r>
          </w:p>
        </w:tc>
        <w:tc>
          <w:tcPr>
            <w:tcW w:type="dxa" w:w="4320"/>
          </w:tcPr>
          <w:p>
            <w:pPr>
              <w:spacing w:before="40" w:after="40"/>
            </w:pPr>
            <w:r>
              <w:rPr>
                <w:rFonts w:ascii="Georgia" w:hAnsi="Georgia"/>
                <w:color w:val="333333"/>
                <w:sz w:val="20"/>
              </w:rPr>
              <w:t>USD 50,000,000</w:t>
            </w:r>
          </w:p>
        </w:tc>
      </w:tr>
      <w:tr>
        <w:tc>
          <w:tcPr>
            <w:tcW w:type="dxa" w:w="4320"/>
          </w:tcPr>
          <w:p>
            <w:pPr>
              <w:spacing w:before="40" w:after="40"/>
            </w:pPr>
            <w:r>
              <w:rPr>
                <w:rFonts w:ascii="Georgia" w:hAnsi="Georgia"/>
                <w:b/>
                <w:color w:val="333333"/>
                <w:sz w:val="20"/>
              </w:rPr>
              <w:t>Award date</w:t>
            </w:r>
          </w:p>
        </w:tc>
        <w:tc>
          <w:tcPr>
            <w:tcW w:type="dxa" w:w="4320"/>
          </w:tcPr>
          <w:p>
            <w:pPr>
              <w:spacing w:before="40" w:after="40"/>
            </w:pPr>
            <w:r>
              <w:rPr>
                <w:rFonts w:ascii="Georgia" w:hAnsi="Georgia"/>
                <w:color w:val="333333"/>
                <w:sz w:val="20"/>
              </w:rPr>
              <w:t>2020-06-30</w:t>
            </w:r>
          </w:p>
        </w:tc>
      </w:tr>
      <w:tr>
        <w:tc>
          <w:tcPr>
            <w:tcW w:type="dxa" w:w="4320"/>
          </w:tcPr>
          <w:p>
            <w:pPr>
              <w:spacing w:before="40" w:after="40"/>
            </w:pPr>
            <w:r>
              <w:rPr>
                <w:rFonts w:ascii="Georgia" w:hAnsi="Georgia"/>
                <w:b/>
                <w:color w:val="333333"/>
                <w:sz w:val="20"/>
              </w:rPr>
              <w:t>Description</w:t>
            </w:r>
          </w:p>
        </w:tc>
        <w:tc>
          <w:tcPr>
            <w:tcW w:type="dxa" w:w="4320"/>
          </w:tcPr>
          <w:p>
            <w:pPr>
              <w:spacing w:before="40" w:after="40"/>
            </w:pPr>
            <w:r>
              <w:rPr>
                <w:rFonts w:ascii="Georgia" w:hAnsi="Georgia"/>
                <w:color w:val="333333"/>
                <w:sz w:val="20"/>
              </w:rPr>
              <w:t>COVID ACTIV3 TASK ORDER SUPPORTS NIAID'S GOAL TO BETTER UNDERSTAND THE CORONAVIRUS WITH AN INITIAL FOCUS ON ACTIV3. THIS TASK ORDER WILL INITIATE THE MANAGEMENT , OVERSIGHT , AND CONDUCT OF THE NIAID  DCR CLINICAL TRIAL TITLED A MULTICENTER, ADA</w:t>
            </w:r>
          </w:p>
        </w:tc>
      </w:tr>
      <w:tr>
        <w:tc>
          <w:tcPr>
            <w:tcW w:type="dxa" w:w="4320"/>
          </w:tcPr>
          <w:p>
            <w:pPr>
              <w:spacing w:before="40" w:after="40"/>
            </w:pPr>
            <w:r>
              <w:rPr>
                <w:rFonts w:ascii="Georgia" w:hAnsi="Georgia"/>
                <w:b/>
                <w:color w:val="333333"/>
                <w:sz w:val="20"/>
              </w:rPr>
              <w:t>Procurement method</w:t>
            </w:r>
          </w:p>
        </w:tc>
        <w:tc>
          <w:tcPr>
            <w:tcW w:type="dxa" w:w="4320"/>
          </w:tcPr>
          <w:p>
            <w:pPr>
              <w:spacing w:before="40" w:after="40"/>
            </w:pPr>
            <w:r>
              <w:rPr>
                <w:rFonts w:ascii="Georgia" w:hAnsi="Georgia"/>
                <w:color w:val="333333"/>
                <w:sz w:val="20"/>
              </w:rPr>
              <w:t>open</w:t>
            </w:r>
          </w:p>
        </w:tc>
      </w:tr>
    </w:tbl>
    <w:p>
      <w:pPr>
        <w:pStyle w:val="Heading2"/>
      </w:pPr>
      <w:r>
        <w:t>II. Verdict</w:t>
      </w:r>
    </w:p>
    <w:p>
      <w:r>
        <w:t>The Evidence Verification Gate returned a YELLOW verdict. One evidence dimension exceeded its applicable threshold under the us_federal_v0 parameter set, indicating a statistical anomaly warranting investigator review. A YELLOW verdict is not an allegation; it is a structured risk indicator.</w:t>
      </w:r>
    </w:p>
    <w:p>
      <w:pPr>
        <w:pStyle w:val="Heading2"/>
      </w:pPr>
      <w:r>
        <w:t>III. Evidence Dimensions</w:t>
      </w:r>
    </w:p>
    <w:tbl>
      <w:tblPr>
        <w:tblW w:type="auto" w:w="0"/>
        <w:jc w:val="left"/>
        <w:tblLook w:firstColumn="1" w:firstRow="1" w:lastColumn="0" w:lastRow="0" w:noHBand="0" w:noVBand="1" w:val="04A0"/>
        <w:tblBorders>
          <w:top w:val="single" w:sz="4" w:space="0" w:color="1A2A44"/>
          <w:bottom w:val="single" w:sz="4" w:space="0" w:color="1A2A44"/>
          <w:insideH w:val="none" w:sz="0" w:space="0" w:color="auto"/>
          <w:insideV w:val="none" w:sz="0" w:space="0" w:color="auto"/>
          <w:left w:val="none" w:sz="0" w:space="0" w:color="auto"/>
          <w:right w:val="none" w:sz="0" w:space="0" w:color="auto"/>
        </w:tblBorders>
      </w:tblPr>
      <w:tblGrid>
        <w:gridCol w:w="2160"/>
        <w:gridCol w:w="2160"/>
        <w:gridCol w:w="2160"/>
        <w:gridCol w:w="2160"/>
      </w:tblGrid>
      <w:tr>
        <w:tc>
          <w:tcPr>
            <w:tcW w:type="dxa" w:w="2160"/>
            <w:shd w:fill="F5F5F5" w:val="clear"/>
            <w:tcBorders>
              <w:bottom w:val="single" w:sz="4" w:space="0" w:color="1A2A44"/>
            </w:tcBorders>
          </w:tcPr>
          <w:p>
            <w:pPr>
              <w:spacing w:before="40" w:after="40"/>
            </w:pPr>
            <w:r>
              <w:rPr>
                <w:rFonts w:ascii="Georgia" w:hAnsi="Georgia"/>
                <w:b/>
                <w:color w:val="333333"/>
                <w:sz w:val="20"/>
              </w:rPr>
              <w:t>Dimension</w:t>
            </w:r>
          </w:p>
        </w:tc>
        <w:tc>
          <w:tcPr>
            <w:tcW w:type="dxa" w:w="2160"/>
            <w:shd w:fill="F5F5F5" w:val="clear"/>
            <w:tcBorders>
              <w:bottom w:val="single" w:sz="4" w:space="0" w:color="1A2A44"/>
            </w:tcBorders>
          </w:tcPr>
          <w:p>
            <w:pPr>
              <w:spacing w:before="40" w:after="40"/>
            </w:pPr>
            <w:r>
              <w:rPr>
                <w:rFonts w:ascii="Georgia" w:hAnsi="Georgia"/>
                <w:b/>
                <w:color w:val="333333"/>
                <w:sz w:val="20"/>
              </w:rPr>
              <w:t>Observed Value</w:t>
            </w:r>
          </w:p>
        </w:tc>
        <w:tc>
          <w:tcPr>
            <w:tcW w:type="dxa" w:w="2160"/>
            <w:shd w:fill="F5F5F5" w:val="clear"/>
            <w:tcBorders>
              <w:bottom w:val="single" w:sz="4" w:space="0" w:color="1A2A44"/>
            </w:tcBorders>
          </w:tcPr>
          <w:p>
            <w:pPr>
              <w:spacing w:before="40" w:after="40"/>
            </w:pPr>
            <w:r>
              <w:rPr>
                <w:rFonts w:ascii="Georgia" w:hAnsi="Georgia"/>
                <w:b/>
                <w:color w:val="333333"/>
                <w:sz w:val="20"/>
              </w:rPr>
              <w:t>Threshold</w:t>
            </w:r>
          </w:p>
        </w:tc>
        <w:tc>
          <w:tcPr>
            <w:tcW w:type="dxa" w:w="2160"/>
            <w:shd w:fill="F5F5F5" w:val="clear"/>
            <w:tcBorders>
              <w:bottom w:val="single" w:sz="4" w:space="0" w:color="1A2A44"/>
            </w:tcBorders>
          </w:tcPr>
          <w:p>
            <w:pPr>
              <w:spacing w:before="40" w:after="40"/>
            </w:pPr>
            <w:r>
              <w:rPr>
                <w:rFonts w:ascii="Georgia" w:hAnsi="Georgia"/>
                <w:b/>
                <w:color w:val="333333"/>
                <w:sz w:val="20"/>
              </w:rPr>
              <w:t>Status</w:t>
            </w:r>
          </w:p>
        </w:tc>
      </w:tr>
      <w:tr>
        <w:tc>
          <w:tcPr>
            <w:tcW w:type="dxa" w:w="2160"/>
          </w:tcPr>
          <w:p>
            <w:pPr>
              <w:spacing w:before="40" w:after="40"/>
            </w:pPr>
            <w:r>
              <w:rPr>
                <w:rFonts w:ascii="Georgia" w:hAnsi="Georgia"/>
                <w:color w:val="333333"/>
                <w:sz w:val="20"/>
              </w:rPr>
              <w:t>CRI Markup Ratio</w:t>
            </w:r>
          </w:p>
        </w:tc>
        <w:tc>
          <w:tcPr>
            <w:tcW w:type="dxa" w:w="2160"/>
          </w:tcPr>
          <w:p>
            <w:pPr>
              <w:spacing w:before="40" w:after="40"/>
            </w:pPr>
            <w:r>
              <w:rPr>
                <w:rFonts w:ascii="Georgia" w:hAnsi="Georgia"/>
                <w:color w:val="333333"/>
                <w:sz w:val="20"/>
              </w:rPr>
              <w:t>1.1092</w:t>
            </w:r>
          </w:p>
        </w:tc>
        <w:tc>
          <w:tcPr>
            <w:tcW w:type="dxa" w:w="2160"/>
          </w:tcPr>
          <w:p>
            <w:pPr>
              <w:spacing w:before="40" w:after="40"/>
            </w:pPr>
            <w:r>
              <w:rPr>
                <w:rFonts w:ascii="Georgia" w:hAnsi="Georgia"/>
                <w:color w:val="333333"/>
                <w:sz w:val="20"/>
              </w:rPr>
              <w:t>0.7500</w:t>
            </w:r>
          </w:p>
        </w:tc>
        <w:tc>
          <w:tcPr>
            <w:tcW w:type="dxa" w:w="2160"/>
          </w:tcPr>
          <w:p>
            <w:pPr>
              <w:spacing w:before="40" w:after="40"/>
            </w:pPr>
            <w:r>
              <w:rPr>
                <w:rFonts w:ascii="Georgia" w:hAnsi="Georgia"/>
                <w:color w:val="333333"/>
                <w:sz w:val="20"/>
              </w:rPr>
              <w:t>Above threshold</w:t>
            </w:r>
          </w:p>
        </w:tc>
      </w:tr>
      <w:tr>
        <w:tc>
          <w:tcPr>
            <w:tcW w:type="dxa" w:w="2160"/>
          </w:tcPr>
          <w:p>
            <w:pPr>
              <w:spacing w:before="40" w:after="40"/>
            </w:pPr>
            <w:r>
              <w:rPr>
                <w:rFonts w:ascii="Georgia" w:hAnsi="Georgia"/>
                <w:color w:val="333333"/>
                <w:sz w:val="20"/>
              </w:rPr>
              <w:t>CRI Bribery Channel</w:t>
            </w:r>
          </w:p>
        </w:tc>
        <w:tc>
          <w:tcPr>
            <w:tcW w:type="dxa" w:w="2160"/>
          </w:tcPr>
          <w:p>
            <w:pPr>
              <w:spacing w:before="40" w:after="40"/>
            </w:pPr>
            <w:r>
              <w:rPr>
                <w:rFonts w:ascii="Georgia" w:hAnsi="Georgia"/>
                <w:color w:val="333333"/>
                <w:sz w:val="20"/>
              </w:rPr>
              <w:t>N/A</w:t>
            </w:r>
          </w:p>
        </w:tc>
        <w:tc>
          <w:tcPr>
            <w:tcW w:type="dxa" w:w="2160"/>
          </w:tcPr>
          <w:p>
            <w:pPr>
              <w:spacing w:before="40" w:after="40"/>
            </w:pPr>
            <w:r>
              <w:rPr>
                <w:rFonts w:ascii="Georgia" w:hAnsi="Georgia"/>
                <w:color w:val="333333"/>
                <w:sz w:val="20"/>
              </w:rPr>
              <w:t>N/A</w:t>
            </w:r>
          </w:p>
        </w:tc>
        <w:tc>
          <w:tcPr>
            <w:tcW w:type="dxa" w:w="2160"/>
          </w:tcPr>
          <w:p>
            <w:pPr>
              <w:spacing w:before="40" w:after="40"/>
            </w:pPr>
            <w:r>
              <w:rPr>
                <w:rFonts w:ascii="Georgia" w:hAnsi="Georgia"/>
                <w:color w:val="333333"/>
                <w:sz w:val="20"/>
              </w:rPr>
              <w:t>Below threshold</w:t>
            </w:r>
          </w:p>
        </w:tc>
      </w:tr>
      <w:tr>
        <w:tc>
          <w:tcPr>
            <w:tcW w:type="dxa" w:w="2160"/>
          </w:tcPr>
          <w:p>
            <w:pPr>
              <w:spacing w:before="40" w:after="40"/>
            </w:pPr>
            <w:r>
              <w:rPr>
                <w:rFonts w:ascii="Georgia" w:hAnsi="Georgia"/>
                <w:color w:val="333333"/>
                <w:sz w:val="20"/>
              </w:rPr>
              <w:t>TCA Typologies</w:t>
            </w:r>
          </w:p>
        </w:tc>
        <w:tc>
          <w:tcPr>
            <w:tcW w:type="dxa" w:w="2160"/>
          </w:tcPr>
          <w:p>
            <w:pPr>
              <w:spacing w:before="40" w:after="40"/>
            </w:pPr>
            <w:r>
              <w:rPr>
                <w:rFonts w:ascii="Georgia" w:hAnsi="Georgia"/>
                <w:color w:val="333333"/>
                <w:sz w:val="20"/>
              </w:rPr>
              <w:t>1</w:t>
            </w:r>
          </w:p>
        </w:tc>
        <w:tc>
          <w:tcPr>
            <w:tcW w:type="dxa" w:w="2160"/>
          </w:tcPr>
          <w:p>
            <w:pPr>
              <w:spacing w:before="40" w:after="40"/>
            </w:pPr>
            <w:r>
              <w:rPr>
                <w:rFonts w:ascii="Georgia" w:hAnsi="Georgia"/>
                <w:color w:val="333333"/>
                <w:sz w:val="20"/>
              </w:rPr>
              <w:t>2</w:t>
            </w:r>
          </w:p>
        </w:tc>
        <w:tc>
          <w:tcPr>
            <w:tcW w:type="dxa" w:w="2160"/>
          </w:tcPr>
          <w:p>
            <w:pPr>
              <w:spacing w:before="40" w:after="40"/>
            </w:pPr>
            <w:r>
              <w:rPr>
                <w:rFonts w:ascii="Georgia" w:hAnsi="Georgia"/>
                <w:color w:val="333333"/>
                <w:sz w:val="20"/>
              </w:rPr>
              <w:t>Below threshold</w:t>
            </w:r>
          </w:p>
        </w:tc>
      </w:tr>
    </w:tbl>
    <w:p>
      <w:pPr>
        <w:pStyle w:val="Heading2"/>
      </w:pPr>
      <w:r>
        <w:t>IV. Structural Findings</w:t>
      </w:r>
    </w:p>
    <w:p>
      <w:r>
        <w:rPr>
          <w:rFonts w:ascii="Georgia" w:hAnsi="Georgia"/>
          <w:b/>
          <w:color w:val="333333"/>
          <w:sz w:val="22"/>
        </w:rPr>
        <w:t xml:space="preserve">FIN-001: </w:t>
      </w:r>
      <w:r>
        <w:rPr>
          <w:rFonts w:ascii="Georgia" w:hAnsi="Georgia"/>
          <w:color w:val="333333"/>
          <w:sz w:val="22"/>
        </w:rPr>
        <w:t>Award (USD 50,000,000) exceeds tender (USD 23,705,670) by 110.9%</w:t>
      </w:r>
    </w:p>
    <w:p>
      <w:pPr>
        <w:ind w:left="720"/>
      </w:pPr>
      <w:r>
        <w:rPr>
          <w:rFonts w:ascii="Georgia" w:hAnsi="Georgia"/>
          <w:b/>
          <w:color w:val="333333"/>
          <w:sz w:val="18"/>
        </w:rPr>
        <w:t xml:space="preserve">Legal citations: </w:t>
      </w:r>
      <w:r>
        <w:rPr>
          <w:rFonts w:ascii="Georgia" w:hAnsi="Georgia"/>
          <w:color w:val="333333"/>
          <w:sz w:val="18"/>
        </w:rPr>
        <w:t>World Bank Procurement Framework; UNDP POPP Contract Modifications policy; MJPIS empirical markup floor (sub-task 2.3.7)</w:t>
      </w:r>
    </w:p>
    <w:p>
      <w:r>
        <w:t>No TCA rules produced contradiction edges under this profile; the YELLOW verdict is driven entirely by the statistical CRI dimension.</w:t>
      </w:r>
    </w:p>
    <w:p>
      <w:pPr>
        <w:pStyle w:val="Heading2"/>
      </w:pPr>
      <w:r>
        <w:t>V. Reproducibility</w:t>
      </w:r>
    </w:p>
    <w:p>
      <w:r>
        <w:t>Analysis timestamp: 2026-04-14T13:57:59.702495+00:00. Processing time: 134.6 ms. Full ContractDossier available in demo/contracts_analyzed.json. CRI markup ratio: 1.1092 (110.92%). Bootstrap 95% CI: [103.4%, 117.8%]. Bayesian posterior: 0.666. Comparable contracts in peer group: 2312.</w:t>
      </w:r>
    </w:p>
    <w:p>
      <w:r>
        <w:br w:type="page"/>
      </w:r>
    </w:p>
    <w:p>
      <w:pPr>
        <w:pStyle w:val="Heading1"/>
      </w:pPr>
      <w:r>
        <w:t>Case 3: RED Multi-Dimensional Finding (Production Data)</w:t>
      </w:r>
    </w:p>
    <w:p>
      <w:pPr>
        <w:spacing w:before="40" w:after="120"/>
        <w:pBdr>
          <w:bottom w:val="single" w:sz="4" w:space="1" w:color="1A2A44"/>
        </w:pBdr>
      </w:pPr>
    </w:p>
    <w:p>
      <w:pPr>
        <w:pStyle w:val="Heading2"/>
      </w:pPr>
      <w:r>
        <w:t>I. Contract Identification</w:t>
      </w:r>
    </w:p>
    <w:tbl>
      <w:tblPr>
        <w:tblW w:type="auto" w:w="0"/>
        <w:jc w:val="left"/>
        <w:tblLook w:firstColumn="1" w:firstRow="1" w:lastColumn="0" w:lastRow="0" w:noHBand="0" w:noVBand="1" w:val="04A0"/>
        <w:tblBorders>
          <w:top w:val="single" w:sz="4" w:space="0" w:color="1A2A44"/>
          <w:bottom w:val="single" w:sz="4" w:space="0" w:color="1A2A44"/>
          <w:insideH w:val="none" w:sz="0" w:space="0" w:color="auto"/>
          <w:insideV w:val="none" w:sz="0" w:space="0" w:color="auto"/>
          <w:left w:val="none" w:sz="0" w:space="0" w:color="auto"/>
          <w:right w:val="none" w:sz="0" w:space="0" w:color="auto"/>
        </w:tblBorders>
      </w:tblPr>
      <w:tblGrid>
        <w:gridCol w:w="4320"/>
        <w:gridCol w:w="4320"/>
      </w:tblGrid>
      <w:tr>
        <w:tc>
          <w:tcPr>
            <w:tcW w:type="dxa" w:w="4320"/>
          </w:tcPr>
          <w:p>
            <w:pPr>
              <w:spacing w:before="40" w:after="40"/>
            </w:pPr>
            <w:r>
              <w:rPr>
                <w:rFonts w:ascii="Georgia" w:hAnsi="Georgia"/>
                <w:b/>
                <w:color w:val="333333"/>
                <w:sz w:val="20"/>
              </w:rPr>
              <w:t>Awarding agency</w:t>
            </w:r>
          </w:p>
        </w:tc>
        <w:tc>
          <w:tcPr>
            <w:tcW w:type="dxa" w:w="4320"/>
          </w:tcPr>
          <w:p>
            <w:pPr>
              <w:spacing w:before="40" w:after="40"/>
            </w:pPr>
            <w:r>
              <w:rPr>
                <w:rFonts w:ascii="Georgia" w:hAnsi="Georgia"/>
                <w:color w:val="333333"/>
                <w:sz w:val="20"/>
              </w:rPr>
              <w:t>Department of Defense</w:t>
            </w:r>
          </w:p>
        </w:tc>
      </w:tr>
      <w:tr>
        <w:tc>
          <w:tcPr>
            <w:tcW w:type="dxa" w:w="4320"/>
          </w:tcPr>
          <w:p>
            <w:pPr>
              <w:spacing w:before="40" w:after="40"/>
            </w:pPr>
            <w:r>
              <w:rPr>
                <w:rFonts w:ascii="Georgia" w:hAnsi="Georgia"/>
                <w:b/>
                <w:color w:val="333333"/>
                <w:sz w:val="20"/>
              </w:rPr>
              <w:t>Vendor</w:t>
            </w:r>
          </w:p>
        </w:tc>
        <w:tc>
          <w:tcPr>
            <w:tcW w:type="dxa" w:w="4320"/>
          </w:tcPr>
          <w:p>
            <w:pPr>
              <w:spacing w:before="40" w:after="40"/>
            </w:pPr>
            <w:r>
              <w:rPr>
                <w:rFonts w:ascii="Georgia" w:hAnsi="Georgia"/>
                <w:color w:val="333333"/>
                <w:sz w:val="20"/>
              </w:rPr>
              <w:t>ELECTRIC BOAT CORPORATION</w:t>
            </w:r>
          </w:p>
        </w:tc>
      </w:tr>
      <w:tr>
        <w:tc>
          <w:tcPr>
            <w:tcW w:type="dxa" w:w="4320"/>
          </w:tcPr>
          <w:p>
            <w:pPr>
              <w:spacing w:before="40" w:after="40"/>
            </w:pPr>
            <w:r>
              <w:rPr>
                <w:rFonts w:ascii="Georgia" w:hAnsi="Georgia"/>
                <w:b/>
                <w:color w:val="333333"/>
                <w:sz w:val="20"/>
              </w:rPr>
              <w:t>Contract value</w:t>
            </w:r>
          </w:p>
        </w:tc>
        <w:tc>
          <w:tcPr>
            <w:tcW w:type="dxa" w:w="4320"/>
          </w:tcPr>
          <w:p>
            <w:pPr>
              <w:spacing w:before="40" w:after="40"/>
            </w:pPr>
            <w:r>
              <w:rPr>
                <w:rFonts w:ascii="Georgia" w:hAnsi="Georgia"/>
                <w:color w:val="333333"/>
                <w:sz w:val="20"/>
              </w:rPr>
              <w:t>USD 24,313,811,834</w:t>
            </w:r>
          </w:p>
        </w:tc>
      </w:tr>
      <w:tr>
        <w:tc>
          <w:tcPr>
            <w:tcW w:type="dxa" w:w="4320"/>
          </w:tcPr>
          <w:p>
            <w:pPr>
              <w:spacing w:before="40" w:after="40"/>
            </w:pPr>
            <w:r>
              <w:rPr>
                <w:rFonts w:ascii="Georgia" w:hAnsi="Georgia"/>
                <w:b/>
                <w:color w:val="333333"/>
                <w:sz w:val="20"/>
              </w:rPr>
              <w:t>Award date</w:t>
            </w:r>
          </w:p>
        </w:tc>
        <w:tc>
          <w:tcPr>
            <w:tcW w:type="dxa" w:w="4320"/>
          </w:tcPr>
          <w:p>
            <w:pPr>
              <w:spacing w:before="40" w:after="40"/>
            </w:pPr>
            <w:r>
              <w:rPr>
                <w:rFonts w:ascii="Georgia" w:hAnsi="Georgia"/>
                <w:color w:val="333333"/>
                <w:sz w:val="20"/>
              </w:rPr>
              <w:t>2017-09-21</w:t>
            </w:r>
          </w:p>
        </w:tc>
      </w:tr>
      <w:tr>
        <w:tc>
          <w:tcPr>
            <w:tcW w:type="dxa" w:w="4320"/>
          </w:tcPr>
          <w:p>
            <w:pPr>
              <w:spacing w:before="40" w:after="40"/>
            </w:pPr>
            <w:r>
              <w:rPr>
                <w:rFonts w:ascii="Georgia" w:hAnsi="Georgia"/>
                <w:b/>
                <w:color w:val="333333"/>
                <w:sz w:val="20"/>
              </w:rPr>
              <w:t>Description</w:t>
            </w:r>
          </w:p>
        </w:tc>
        <w:tc>
          <w:tcPr>
            <w:tcW w:type="dxa" w:w="4320"/>
          </w:tcPr>
          <w:p>
            <w:pPr>
              <w:spacing w:before="40" w:after="40"/>
            </w:pPr>
            <w:r>
              <w:rPr>
                <w:rFonts w:ascii="Georgia" w:hAnsi="Georgia"/>
                <w:color w:val="333333"/>
                <w:sz w:val="20"/>
              </w:rPr>
              <w:t>COLUMBIA CLASS DESIGN COMPLETION</w:t>
            </w:r>
          </w:p>
        </w:tc>
      </w:tr>
      <w:tr>
        <w:tc>
          <w:tcPr>
            <w:tcW w:type="dxa" w:w="4320"/>
          </w:tcPr>
          <w:p>
            <w:pPr>
              <w:spacing w:before="40" w:after="40"/>
            </w:pPr>
            <w:r>
              <w:rPr>
                <w:rFonts w:ascii="Georgia" w:hAnsi="Georgia"/>
                <w:b/>
                <w:color w:val="333333"/>
                <w:sz w:val="20"/>
              </w:rPr>
              <w:t>Procurement method</w:t>
            </w:r>
          </w:p>
        </w:tc>
        <w:tc>
          <w:tcPr>
            <w:tcW w:type="dxa" w:w="4320"/>
          </w:tcPr>
          <w:p>
            <w:pPr>
              <w:spacing w:before="40" w:after="40"/>
            </w:pPr>
            <w:r>
              <w:rPr>
                <w:rFonts w:ascii="Georgia" w:hAnsi="Georgia"/>
                <w:color w:val="333333"/>
                <w:sz w:val="20"/>
              </w:rPr>
              <w:t>open</w:t>
            </w:r>
          </w:p>
        </w:tc>
      </w:tr>
    </w:tbl>
    <w:p>
      <w:pPr>
        <w:pStyle w:val="Heading2"/>
      </w:pPr>
      <w:r>
        <w:t>II. Verdict</w:t>
      </w:r>
    </w:p>
    <w:p>
      <w:r>
        <w:t>The Evidence Verification Gate returned a RED verdict. 2 evidence dimensions exceeded their applicable thresholds simultaneously under the us_federal_v0 parameter set. This RED verdict is produced on a contract from the production database with no prior prosecution history. SUNLIGHT surfaces the structural risk indicator; determination of intent and case disposition remains with institutional investigators.</w:t>
      </w:r>
    </w:p>
    <w:p>
      <w:pPr>
        <w:pStyle w:val="Heading2"/>
      </w:pPr>
      <w:r>
        <w:t>III. Evidence Dimensions</w:t>
      </w:r>
    </w:p>
    <w:tbl>
      <w:tblPr>
        <w:tblW w:type="auto" w:w="0"/>
        <w:jc w:val="left"/>
        <w:tblLook w:firstColumn="1" w:firstRow="1" w:lastColumn="0" w:lastRow="0" w:noHBand="0" w:noVBand="1" w:val="04A0"/>
        <w:tblBorders>
          <w:top w:val="single" w:sz="4" w:space="0" w:color="1A2A44"/>
          <w:bottom w:val="single" w:sz="4" w:space="0" w:color="1A2A44"/>
          <w:insideH w:val="none" w:sz="0" w:space="0" w:color="auto"/>
          <w:insideV w:val="none" w:sz="0" w:space="0" w:color="auto"/>
          <w:left w:val="none" w:sz="0" w:space="0" w:color="auto"/>
          <w:right w:val="none" w:sz="0" w:space="0" w:color="auto"/>
        </w:tblBorders>
      </w:tblPr>
      <w:tblGrid>
        <w:gridCol w:w="2160"/>
        <w:gridCol w:w="2160"/>
        <w:gridCol w:w="2160"/>
        <w:gridCol w:w="2160"/>
      </w:tblGrid>
      <w:tr>
        <w:tc>
          <w:tcPr>
            <w:tcW w:type="dxa" w:w="2160"/>
            <w:shd w:fill="F5F5F5" w:val="clear"/>
            <w:tcBorders>
              <w:bottom w:val="single" w:sz="4" w:space="0" w:color="1A2A44"/>
            </w:tcBorders>
          </w:tcPr>
          <w:p>
            <w:pPr>
              <w:spacing w:before="40" w:after="40"/>
            </w:pPr>
            <w:r>
              <w:rPr>
                <w:rFonts w:ascii="Georgia" w:hAnsi="Georgia"/>
                <w:b/>
                <w:color w:val="333333"/>
                <w:sz w:val="20"/>
              </w:rPr>
              <w:t>Dimension</w:t>
            </w:r>
          </w:p>
        </w:tc>
        <w:tc>
          <w:tcPr>
            <w:tcW w:type="dxa" w:w="2160"/>
            <w:shd w:fill="F5F5F5" w:val="clear"/>
            <w:tcBorders>
              <w:bottom w:val="single" w:sz="4" w:space="0" w:color="1A2A44"/>
            </w:tcBorders>
          </w:tcPr>
          <w:p>
            <w:pPr>
              <w:spacing w:before="40" w:after="40"/>
            </w:pPr>
            <w:r>
              <w:rPr>
                <w:rFonts w:ascii="Georgia" w:hAnsi="Georgia"/>
                <w:b/>
                <w:color w:val="333333"/>
                <w:sz w:val="20"/>
              </w:rPr>
              <w:t>Observed Value</w:t>
            </w:r>
          </w:p>
        </w:tc>
        <w:tc>
          <w:tcPr>
            <w:tcW w:type="dxa" w:w="2160"/>
            <w:shd w:fill="F5F5F5" w:val="clear"/>
            <w:tcBorders>
              <w:bottom w:val="single" w:sz="4" w:space="0" w:color="1A2A44"/>
            </w:tcBorders>
          </w:tcPr>
          <w:p>
            <w:pPr>
              <w:spacing w:before="40" w:after="40"/>
            </w:pPr>
            <w:r>
              <w:rPr>
                <w:rFonts w:ascii="Georgia" w:hAnsi="Georgia"/>
                <w:b/>
                <w:color w:val="333333"/>
                <w:sz w:val="20"/>
              </w:rPr>
              <w:t>Threshold</w:t>
            </w:r>
          </w:p>
        </w:tc>
        <w:tc>
          <w:tcPr>
            <w:tcW w:type="dxa" w:w="2160"/>
            <w:shd w:fill="F5F5F5" w:val="clear"/>
            <w:tcBorders>
              <w:bottom w:val="single" w:sz="4" w:space="0" w:color="1A2A44"/>
            </w:tcBorders>
          </w:tcPr>
          <w:p>
            <w:pPr>
              <w:spacing w:before="40" w:after="40"/>
            </w:pPr>
            <w:r>
              <w:rPr>
                <w:rFonts w:ascii="Georgia" w:hAnsi="Georgia"/>
                <w:b/>
                <w:color w:val="333333"/>
                <w:sz w:val="20"/>
              </w:rPr>
              <w:t>Status</w:t>
            </w:r>
          </w:p>
        </w:tc>
      </w:tr>
      <w:tr>
        <w:tc>
          <w:tcPr>
            <w:tcW w:type="dxa" w:w="2160"/>
          </w:tcPr>
          <w:p>
            <w:pPr>
              <w:spacing w:before="40" w:after="40"/>
            </w:pPr>
            <w:r>
              <w:rPr>
                <w:rFonts w:ascii="Georgia" w:hAnsi="Georgia"/>
                <w:color w:val="333333"/>
                <w:sz w:val="20"/>
              </w:rPr>
              <w:t>CRI Markup Ratio</w:t>
            </w:r>
          </w:p>
        </w:tc>
        <w:tc>
          <w:tcPr>
            <w:tcW w:type="dxa" w:w="2160"/>
          </w:tcPr>
          <w:p>
            <w:pPr>
              <w:spacing w:before="40" w:after="40"/>
            </w:pPr>
            <w:r>
              <w:rPr>
                <w:rFonts w:ascii="Georgia" w:hAnsi="Georgia"/>
                <w:color w:val="333333"/>
                <w:sz w:val="20"/>
              </w:rPr>
              <w:t>11.5652</w:t>
            </w:r>
          </w:p>
        </w:tc>
        <w:tc>
          <w:tcPr>
            <w:tcW w:type="dxa" w:w="2160"/>
          </w:tcPr>
          <w:p>
            <w:pPr>
              <w:spacing w:before="40" w:after="40"/>
            </w:pPr>
            <w:r>
              <w:rPr>
                <w:rFonts w:ascii="Georgia" w:hAnsi="Georgia"/>
                <w:color w:val="333333"/>
                <w:sz w:val="20"/>
              </w:rPr>
              <w:t>0.7500</w:t>
            </w:r>
          </w:p>
        </w:tc>
        <w:tc>
          <w:tcPr>
            <w:tcW w:type="dxa" w:w="2160"/>
          </w:tcPr>
          <w:p>
            <w:pPr>
              <w:spacing w:before="40" w:after="40"/>
            </w:pPr>
            <w:r>
              <w:rPr>
                <w:rFonts w:ascii="Georgia" w:hAnsi="Georgia"/>
                <w:color w:val="333333"/>
                <w:sz w:val="20"/>
              </w:rPr>
              <w:t>Above threshold</w:t>
            </w:r>
          </w:p>
        </w:tc>
      </w:tr>
      <w:tr>
        <w:tc>
          <w:tcPr>
            <w:tcW w:type="dxa" w:w="2160"/>
          </w:tcPr>
          <w:p>
            <w:pPr>
              <w:spacing w:before="40" w:after="40"/>
            </w:pPr>
            <w:r>
              <w:rPr>
                <w:rFonts w:ascii="Georgia" w:hAnsi="Georgia"/>
                <w:color w:val="333333"/>
                <w:sz w:val="20"/>
              </w:rPr>
              <w:t>CRI Bribery Channel</w:t>
            </w:r>
          </w:p>
        </w:tc>
        <w:tc>
          <w:tcPr>
            <w:tcW w:type="dxa" w:w="2160"/>
          </w:tcPr>
          <w:p>
            <w:pPr>
              <w:spacing w:before="40" w:after="40"/>
            </w:pPr>
            <w:r>
              <w:rPr>
                <w:rFonts w:ascii="Georgia" w:hAnsi="Georgia"/>
                <w:color w:val="333333"/>
                <w:sz w:val="20"/>
              </w:rPr>
              <w:t>N/A</w:t>
            </w:r>
          </w:p>
        </w:tc>
        <w:tc>
          <w:tcPr>
            <w:tcW w:type="dxa" w:w="2160"/>
          </w:tcPr>
          <w:p>
            <w:pPr>
              <w:spacing w:before="40" w:after="40"/>
            </w:pPr>
            <w:r>
              <w:rPr>
                <w:rFonts w:ascii="Georgia" w:hAnsi="Georgia"/>
                <w:color w:val="333333"/>
                <w:sz w:val="20"/>
              </w:rPr>
              <w:t>N/A</w:t>
            </w:r>
          </w:p>
        </w:tc>
        <w:tc>
          <w:tcPr>
            <w:tcW w:type="dxa" w:w="2160"/>
          </w:tcPr>
          <w:p>
            <w:pPr>
              <w:spacing w:before="40" w:after="40"/>
            </w:pPr>
            <w:r>
              <w:rPr>
                <w:rFonts w:ascii="Georgia" w:hAnsi="Georgia"/>
                <w:color w:val="333333"/>
                <w:sz w:val="20"/>
              </w:rPr>
              <w:t>Below threshold</w:t>
            </w:r>
          </w:p>
        </w:tc>
      </w:tr>
      <w:tr>
        <w:tc>
          <w:tcPr>
            <w:tcW w:type="dxa" w:w="2160"/>
          </w:tcPr>
          <w:p>
            <w:pPr>
              <w:spacing w:before="40" w:after="40"/>
            </w:pPr>
            <w:r>
              <w:rPr>
                <w:rFonts w:ascii="Georgia" w:hAnsi="Georgia"/>
                <w:color w:val="333333"/>
                <w:sz w:val="20"/>
              </w:rPr>
              <w:t>TCA Typologies</w:t>
            </w:r>
          </w:p>
        </w:tc>
        <w:tc>
          <w:tcPr>
            <w:tcW w:type="dxa" w:w="2160"/>
          </w:tcPr>
          <w:p>
            <w:pPr>
              <w:spacing w:before="40" w:after="40"/>
            </w:pPr>
            <w:r>
              <w:rPr>
                <w:rFonts w:ascii="Georgia" w:hAnsi="Georgia"/>
                <w:color w:val="333333"/>
                <w:sz w:val="20"/>
              </w:rPr>
              <w:t>2</w:t>
            </w:r>
          </w:p>
        </w:tc>
        <w:tc>
          <w:tcPr>
            <w:tcW w:type="dxa" w:w="2160"/>
          </w:tcPr>
          <w:p>
            <w:pPr>
              <w:spacing w:before="40" w:after="40"/>
            </w:pPr>
            <w:r>
              <w:rPr>
                <w:rFonts w:ascii="Georgia" w:hAnsi="Georgia"/>
                <w:color w:val="333333"/>
                <w:sz w:val="20"/>
              </w:rPr>
              <w:t>2</w:t>
            </w:r>
          </w:p>
        </w:tc>
        <w:tc>
          <w:tcPr>
            <w:tcW w:type="dxa" w:w="2160"/>
          </w:tcPr>
          <w:p>
            <w:pPr>
              <w:spacing w:before="40" w:after="40"/>
            </w:pPr>
            <w:r>
              <w:rPr>
                <w:rFonts w:ascii="Georgia" w:hAnsi="Georgia"/>
                <w:color w:val="333333"/>
                <w:sz w:val="20"/>
              </w:rPr>
              <w:t>Above threshold</w:t>
            </w:r>
          </w:p>
        </w:tc>
      </w:tr>
    </w:tbl>
    <w:p>
      <w:pPr>
        <w:pStyle w:val="Heading2"/>
      </w:pPr>
      <w:r>
        <w:t>IV. Structural Findings</w:t>
      </w:r>
    </w:p>
    <w:p>
      <w:r>
        <w:rPr>
          <w:rFonts w:ascii="Georgia" w:hAnsi="Georgia"/>
          <w:b/>
          <w:color w:val="333333"/>
          <w:sz w:val="22"/>
        </w:rPr>
        <w:t xml:space="preserve">FIN-001: </w:t>
      </w:r>
      <w:r>
        <w:rPr>
          <w:rFonts w:ascii="Georgia" w:hAnsi="Georgia"/>
          <w:color w:val="333333"/>
          <w:sz w:val="22"/>
        </w:rPr>
        <w:t>Award (USD 24,313,811,834) exceeds tender (USD 1,935,011,925) by 1156.5%</w:t>
      </w:r>
    </w:p>
    <w:p>
      <w:pPr>
        <w:ind w:left="720"/>
      </w:pPr>
      <w:r>
        <w:rPr>
          <w:rFonts w:ascii="Georgia" w:hAnsi="Georgia"/>
          <w:b/>
          <w:color w:val="333333"/>
          <w:sz w:val="18"/>
        </w:rPr>
        <w:t xml:space="preserve">Legal citations: </w:t>
      </w:r>
      <w:r>
        <w:rPr>
          <w:rFonts w:ascii="Georgia" w:hAnsi="Georgia"/>
          <w:color w:val="333333"/>
          <w:sz w:val="18"/>
        </w:rPr>
        <w:t>World Bank Procurement Framework; UNDP POPP Contract Modifications policy; MJPIS empirical markup floor (sub-task 2.3.7)</w:t>
      </w:r>
    </w:p>
    <w:p>
      <w:r>
        <w:rPr>
          <w:rFonts w:ascii="Georgia" w:hAnsi="Georgia"/>
          <w:b/>
          <w:color w:val="333333"/>
          <w:sz w:val="22"/>
        </w:rPr>
        <w:t xml:space="preserve">TIME-001: </w:t>
      </w:r>
      <w:r>
        <w:rPr>
          <w:rFonts w:ascii="Georgia" w:hAnsi="Georgia"/>
          <w:color w:val="333333"/>
          <w:sz w:val="22"/>
        </w:rPr>
        <w:t>Award in final 2 weeks of fiscal period (month 9, day 21)</w:t>
      </w:r>
    </w:p>
    <w:p>
      <w:pPr>
        <w:ind w:left="720"/>
      </w:pPr>
      <w:r>
        <w:rPr>
          <w:rFonts w:ascii="Georgia" w:hAnsi="Georgia"/>
          <w:b/>
          <w:color w:val="333333"/>
          <w:sz w:val="18"/>
        </w:rPr>
        <w:t xml:space="preserve">Legal citations: </w:t>
      </w:r>
      <w:r>
        <w:rPr>
          <w:rFonts w:ascii="Georgia" w:hAnsi="Georgia"/>
          <w:color w:val="333333"/>
          <w:sz w:val="18"/>
        </w:rPr>
        <w:t>Fazekas fiscal pressure research; OECD public procurement timing analysis; Senegal case (award 8 days before fiscal close)</w:t>
      </w:r>
    </w:p>
    <w:p>
      <w:pPr>
        <w:pStyle w:val="Heading2"/>
      </w:pPr>
      <w:r>
        <w:t>V. Reproducibility</w:t>
      </w:r>
    </w:p>
    <w:p>
      <w:r>
        <w:t>Analysis timestamp: 2026-04-14T13:57:59.702495+00:00. Processing time: 38.7 ms. Full ContractDossier available in demo/contracts_analyzed.json. EVG methodology: EVG v1.0: GREEN=0 dims fired, YELLOW=1 dim, RED=2+ dims. Thresholds from us_federal_v0.</w:t>
      </w:r>
    </w:p>
    <w:p>
      <w:r>
        <w:br w:type="page"/>
      </w:r>
    </w:p>
    <w:p>
      <w:pPr>
        <w:pStyle w:val="Heading1"/>
      </w:pPr>
      <w:r>
        <w:t>Case 4: DOJ-Prosecuted Reference Case (Credibility Floor)</w:t>
      </w:r>
    </w:p>
    <w:p>
      <w:pPr>
        <w:spacing w:before="40" w:after="120"/>
        <w:pBdr>
          <w:bottom w:val="single" w:sz="4" w:space="1" w:color="1A2A44"/>
        </w:pBdr>
      </w:pPr>
    </w:p>
    <w:p>
      <w:pPr>
        <w:pStyle w:val="Heading2"/>
      </w:pPr>
      <w:r>
        <w:t>I. Contract Identification</w:t>
      </w:r>
    </w:p>
    <w:tbl>
      <w:tblPr>
        <w:tblW w:type="auto" w:w="0"/>
        <w:jc w:val="left"/>
        <w:tblLook w:firstColumn="1" w:firstRow="1" w:lastColumn="0" w:lastRow="0" w:noHBand="0" w:noVBand="1" w:val="04A0"/>
        <w:tblBorders>
          <w:top w:val="single" w:sz="4" w:space="0" w:color="1A2A44"/>
          <w:bottom w:val="single" w:sz="4" w:space="0" w:color="1A2A44"/>
          <w:insideH w:val="none" w:sz="0" w:space="0" w:color="auto"/>
          <w:insideV w:val="none" w:sz="0" w:space="0" w:color="auto"/>
          <w:left w:val="none" w:sz="0" w:space="0" w:color="auto"/>
          <w:right w:val="none" w:sz="0" w:space="0" w:color="auto"/>
        </w:tblBorders>
      </w:tblPr>
      <w:tblGrid>
        <w:gridCol w:w="4320"/>
        <w:gridCol w:w="4320"/>
      </w:tblGrid>
      <w:tr>
        <w:tc>
          <w:tcPr>
            <w:tcW w:type="dxa" w:w="4320"/>
          </w:tcPr>
          <w:p>
            <w:pPr>
              <w:spacing w:before="40" w:after="40"/>
            </w:pPr>
            <w:r>
              <w:rPr>
                <w:rFonts w:ascii="Georgia" w:hAnsi="Georgia"/>
                <w:b/>
                <w:color w:val="333333"/>
                <w:sz w:val="20"/>
              </w:rPr>
              <w:t>Awarding agency</w:t>
            </w:r>
          </w:p>
        </w:tc>
        <w:tc>
          <w:tcPr>
            <w:tcW w:type="dxa" w:w="4320"/>
          </w:tcPr>
          <w:p>
            <w:pPr>
              <w:spacing w:before="40" w:after="40"/>
            </w:pPr>
            <w:r>
              <w:rPr>
                <w:rFonts w:ascii="Georgia" w:hAnsi="Georgia"/>
                <w:color w:val="333333"/>
                <w:sz w:val="20"/>
              </w:rPr>
              <w:t>Department of Defense</w:t>
            </w:r>
          </w:p>
        </w:tc>
      </w:tr>
      <w:tr>
        <w:tc>
          <w:tcPr>
            <w:tcW w:type="dxa" w:w="4320"/>
          </w:tcPr>
          <w:p>
            <w:pPr>
              <w:spacing w:before="40" w:after="40"/>
            </w:pPr>
            <w:r>
              <w:rPr>
                <w:rFonts w:ascii="Georgia" w:hAnsi="Georgia"/>
                <w:b/>
                <w:color w:val="333333"/>
                <w:sz w:val="20"/>
              </w:rPr>
              <w:t>Vendor</w:t>
            </w:r>
          </w:p>
        </w:tc>
        <w:tc>
          <w:tcPr>
            <w:tcW w:type="dxa" w:w="4320"/>
          </w:tcPr>
          <w:p>
            <w:pPr>
              <w:spacing w:before="40" w:after="40"/>
            </w:pPr>
            <w:r>
              <w:rPr>
                <w:rFonts w:ascii="Georgia" w:hAnsi="Georgia"/>
                <w:color w:val="333333"/>
                <w:sz w:val="20"/>
              </w:rPr>
              <w:t>Boeing Company</w:t>
            </w:r>
          </w:p>
        </w:tc>
      </w:tr>
      <w:tr>
        <w:tc>
          <w:tcPr>
            <w:tcW w:type="dxa" w:w="4320"/>
          </w:tcPr>
          <w:p>
            <w:pPr>
              <w:spacing w:before="40" w:after="40"/>
            </w:pPr>
            <w:r>
              <w:rPr>
                <w:rFonts w:ascii="Georgia" w:hAnsi="Georgia"/>
                <w:b/>
                <w:color w:val="333333"/>
                <w:sz w:val="20"/>
              </w:rPr>
              <w:t>Contract value</w:t>
            </w:r>
          </w:p>
        </w:tc>
        <w:tc>
          <w:tcPr>
            <w:tcW w:type="dxa" w:w="4320"/>
          </w:tcPr>
          <w:p>
            <w:pPr>
              <w:spacing w:before="40" w:after="40"/>
            </w:pPr>
            <w:r>
              <w:rPr>
                <w:rFonts w:ascii="Georgia" w:hAnsi="Georgia"/>
                <w:color w:val="333333"/>
                <w:sz w:val="20"/>
              </w:rPr>
              <w:t>USD 148,287,618</w:t>
            </w:r>
          </w:p>
        </w:tc>
      </w:tr>
      <w:tr>
        <w:tc>
          <w:tcPr>
            <w:tcW w:type="dxa" w:w="4320"/>
          </w:tcPr>
          <w:p>
            <w:pPr>
              <w:spacing w:before="40" w:after="40"/>
            </w:pPr>
            <w:r>
              <w:rPr>
                <w:rFonts w:ascii="Georgia" w:hAnsi="Georgia"/>
                <w:b/>
                <w:color w:val="333333"/>
                <w:sz w:val="20"/>
              </w:rPr>
              <w:t>Description</w:t>
            </w:r>
          </w:p>
        </w:tc>
        <w:tc>
          <w:tcPr>
            <w:tcW w:type="dxa" w:w="4320"/>
          </w:tcPr>
          <w:p>
            <w:pPr>
              <w:spacing w:before="40" w:after="40"/>
            </w:pPr>
            <w:r>
              <w:rPr>
                <w:rFonts w:ascii="Georgia" w:hAnsi="Georgia"/>
                <w:color w:val="333333"/>
                <w:sz w:val="20"/>
              </w:rPr>
              <w:t>Charged Air Force 300-600% markup on standard aircraft spare parts with known commercial prices</w:t>
            </w:r>
          </w:p>
        </w:tc>
      </w:tr>
      <w:tr>
        <w:tc>
          <w:tcPr>
            <w:tcW w:type="dxa" w:w="4320"/>
          </w:tcPr>
          <w:p>
            <w:pPr>
              <w:spacing w:before="40" w:after="40"/>
            </w:pPr>
            <w:r>
              <w:rPr>
                <w:rFonts w:ascii="Georgia" w:hAnsi="Georgia"/>
                <w:b/>
                <w:color w:val="333333"/>
                <w:sz w:val="20"/>
              </w:rPr>
              <w:t>Procurement method</w:t>
            </w:r>
          </w:p>
        </w:tc>
        <w:tc>
          <w:tcPr>
            <w:tcW w:type="dxa" w:w="4320"/>
          </w:tcPr>
          <w:p>
            <w:pPr>
              <w:spacing w:before="40" w:after="40"/>
            </w:pPr>
            <w:r>
              <w:rPr>
                <w:rFonts w:ascii="Georgia" w:hAnsi="Georgia"/>
                <w:color w:val="333333"/>
                <w:sz w:val="20"/>
              </w:rPr>
              <w:t>direct</w:t>
            </w:r>
          </w:p>
        </w:tc>
      </w:tr>
    </w:tbl>
    <w:p>
      <w:pPr>
        <w:pStyle w:val="Heading2"/>
      </w:pPr>
      <w:r>
        <w:t>II. Verdict</w:t>
      </w:r>
    </w:p>
    <w:p>
      <w:r>
        <w:t>The Evidence Verification Gate returned a RED verdict. 2 evidence dimensions exceeded their applicable thresholds simultaneously under the us_federal_v0 parameter set. Documented fraud type: Spare Parts Overcharging. Documented markup: 450%. Settlement: $615,000,000.</w:t>
      </w:r>
    </w:p>
    <w:p>
      <w:pPr>
        <w:pStyle w:val="Heading2"/>
      </w:pPr>
      <w:r>
        <w:t>III. Evidence Dimensions</w:t>
      </w:r>
    </w:p>
    <w:tbl>
      <w:tblPr>
        <w:tblW w:type="auto" w:w="0"/>
        <w:jc w:val="left"/>
        <w:tblLook w:firstColumn="1" w:firstRow="1" w:lastColumn="0" w:lastRow="0" w:noHBand="0" w:noVBand="1" w:val="04A0"/>
        <w:tblBorders>
          <w:top w:val="single" w:sz="4" w:space="0" w:color="1A2A44"/>
          <w:bottom w:val="single" w:sz="4" w:space="0" w:color="1A2A44"/>
          <w:insideH w:val="none" w:sz="0" w:space="0" w:color="auto"/>
          <w:insideV w:val="none" w:sz="0" w:space="0" w:color="auto"/>
          <w:left w:val="none" w:sz="0" w:space="0" w:color="auto"/>
          <w:right w:val="none" w:sz="0" w:space="0" w:color="auto"/>
        </w:tblBorders>
      </w:tblPr>
      <w:tblGrid>
        <w:gridCol w:w="2160"/>
        <w:gridCol w:w="2160"/>
        <w:gridCol w:w="2160"/>
        <w:gridCol w:w="2160"/>
      </w:tblGrid>
      <w:tr>
        <w:tc>
          <w:tcPr>
            <w:tcW w:type="dxa" w:w="2160"/>
            <w:shd w:fill="F5F5F5" w:val="clear"/>
            <w:tcBorders>
              <w:bottom w:val="single" w:sz="4" w:space="0" w:color="1A2A44"/>
            </w:tcBorders>
          </w:tcPr>
          <w:p>
            <w:pPr>
              <w:spacing w:before="40" w:after="40"/>
            </w:pPr>
            <w:r>
              <w:rPr>
                <w:rFonts w:ascii="Georgia" w:hAnsi="Georgia"/>
                <w:b/>
                <w:color w:val="333333"/>
                <w:sz w:val="20"/>
              </w:rPr>
              <w:t>Dimension</w:t>
            </w:r>
          </w:p>
        </w:tc>
        <w:tc>
          <w:tcPr>
            <w:tcW w:type="dxa" w:w="2160"/>
            <w:shd w:fill="F5F5F5" w:val="clear"/>
            <w:tcBorders>
              <w:bottom w:val="single" w:sz="4" w:space="0" w:color="1A2A44"/>
            </w:tcBorders>
          </w:tcPr>
          <w:p>
            <w:pPr>
              <w:spacing w:before="40" w:after="40"/>
            </w:pPr>
            <w:r>
              <w:rPr>
                <w:rFonts w:ascii="Georgia" w:hAnsi="Georgia"/>
                <w:b/>
                <w:color w:val="333333"/>
                <w:sz w:val="20"/>
              </w:rPr>
              <w:t>Observed Value</w:t>
            </w:r>
          </w:p>
        </w:tc>
        <w:tc>
          <w:tcPr>
            <w:tcW w:type="dxa" w:w="2160"/>
            <w:shd w:fill="F5F5F5" w:val="clear"/>
            <w:tcBorders>
              <w:bottom w:val="single" w:sz="4" w:space="0" w:color="1A2A44"/>
            </w:tcBorders>
          </w:tcPr>
          <w:p>
            <w:pPr>
              <w:spacing w:before="40" w:after="40"/>
            </w:pPr>
            <w:r>
              <w:rPr>
                <w:rFonts w:ascii="Georgia" w:hAnsi="Georgia"/>
                <w:b/>
                <w:color w:val="333333"/>
                <w:sz w:val="20"/>
              </w:rPr>
              <w:t>Threshold</w:t>
            </w:r>
          </w:p>
        </w:tc>
        <w:tc>
          <w:tcPr>
            <w:tcW w:type="dxa" w:w="2160"/>
            <w:shd w:fill="F5F5F5" w:val="clear"/>
            <w:tcBorders>
              <w:bottom w:val="single" w:sz="4" w:space="0" w:color="1A2A44"/>
            </w:tcBorders>
          </w:tcPr>
          <w:p>
            <w:pPr>
              <w:spacing w:before="40" w:after="40"/>
            </w:pPr>
            <w:r>
              <w:rPr>
                <w:rFonts w:ascii="Georgia" w:hAnsi="Georgia"/>
                <w:b/>
                <w:color w:val="333333"/>
                <w:sz w:val="20"/>
              </w:rPr>
              <w:t>Status</w:t>
            </w:r>
          </w:p>
        </w:tc>
      </w:tr>
      <w:tr>
        <w:tc>
          <w:tcPr>
            <w:tcW w:type="dxa" w:w="2160"/>
          </w:tcPr>
          <w:p>
            <w:pPr>
              <w:spacing w:before="40" w:after="40"/>
            </w:pPr>
            <w:r>
              <w:rPr>
                <w:rFonts w:ascii="Georgia" w:hAnsi="Georgia"/>
                <w:color w:val="333333"/>
                <w:sz w:val="20"/>
              </w:rPr>
              <w:t>CRI Markup Ratio</w:t>
            </w:r>
          </w:p>
        </w:tc>
        <w:tc>
          <w:tcPr>
            <w:tcW w:type="dxa" w:w="2160"/>
          </w:tcPr>
          <w:p>
            <w:pPr>
              <w:spacing w:before="40" w:after="40"/>
            </w:pPr>
            <w:r>
              <w:rPr>
                <w:rFonts w:ascii="Georgia" w:hAnsi="Georgia"/>
                <w:color w:val="333333"/>
                <w:sz w:val="20"/>
              </w:rPr>
              <w:t>4.3268</w:t>
            </w:r>
          </w:p>
        </w:tc>
        <w:tc>
          <w:tcPr>
            <w:tcW w:type="dxa" w:w="2160"/>
          </w:tcPr>
          <w:p>
            <w:pPr>
              <w:spacing w:before="40" w:after="40"/>
            </w:pPr>
            <w:r>
              <w:rPr>
                <w:rFonts w:ascii="Georgia" w:hAnsi="Georgia"/>
                <w:color w:val="333333"/>
                <w:sz w:val="20"/>
              </w:rPr>
              <w:t>0.7500</w:t>
            </w:r>
          </w:p>
        </w:tc>
        <w:tc>
          <w:tcPr>
            <w:tcW w:type="dxa" w:w="2160"/>
          </w:tcPr>
          <w:p>
            <w:pPr>
              <w:spacing w:before="40" w:after="40"/>
            </w:pPr>
            <w:r>
              <w:rPr>
                <w:rFonts w:ascii="Georgia" w:hAnsi="Georgia"/>
                <w:color w:val="333333"/>
                <w:sz w:val="20"/>
              </w:rPr>
              <w:t>Above threshold</w:t>
            </w:r>
          </w:p>
        </w:tc>
      </w:tr>
      <w:tr>
        <w:tc>
          <w:tcPr>
            <w:tcW w:type="dxa" w:w="2160"/>
          </w:tcPr>
          <w:p>
            <w:pPr>
              <w:spacing w:before="40" w:after="40"/>
            </w:pPr>
            <w:r>
              <w:rPr>
                <w:rFonts w:ascii="Georgia" w:hAnsi="Georgia"/>
                <w:color w:val="333333"/>
                <w:sz w:val="20"/>
              </w:rPr>
              <w:t>CRI Bribery Channel</w:t>
            </w:r>
          </w:p>
        </w:tc>
        <w:tc>
          <w:tcPr>
            <w:tcW w:type="dxa" w:w="2160"/>
          </w:tcPr>
          <w:p>
            <w:pPr>
              <w:spacing w:before="40" w:after="40"/>
            </w:pPr>
            <w:r>
              <w:rPr>
                <w:rFonts w:ascii="Georgia" w:hAnsi="Georgia"/>
                <w:color w:val="333333"/>
                <w:sz w:val="20"/>
              </w:rPr>
              <w:t>N/A</w:t>
            </w:r>
          </w:p>
        </w:tc>
        <w:tc>
          <w:tcPr>
            <w:tcW w:type="dxa" w:w="2160"/>
          </w:tcPr>
          <w:p>
            <w:pPr>
              <w:spacing w:before="40" w:after="40"/>
            </w:pPr>
            <w:r>
              <w:rPr>
                <w:rFonts w:ascii="Georgia" w:hAnsi="Georgia"/>
                <w:color w:val="333333"/>
                <w:sz w:val="20"/>
              </w:rPr>
              <w:t>N/A</w:t>
            </w:r>
          </w:p>
        </w:tc>
        <w:tc>
          <w:tcPr>
            <w:tcW w:type="dxa" w:w="2160"/>
          </w:tcPr>
          <w:p>
            <w:pPr>
              <w:spacing w:before="40" w:after="40"/>
            </w:pPr>
            <w:r>
              <w:rPr>
                <w:rFonts w:ascii="Georgia" w:hAnsi="Georgia"/>
                <w:color w:val="333333"/>
                <w:sz w:val="20"/>
              </w:rPr>
              <w:t>Below threshold</w:t>
            </w:r>
          </w:p>
        </w:tc>
      </w:tr>
      <w:tr>
        <w:tc>
          <w:tcPr>
            <w:tcW w:type="dxa" w:w="2160"/>
          </w:tcPr>
          <w:p>
            <w:pPr>
              <w:spacing w:before="40" w:after="40"/>
            </w:pPr>
            <w:r>
              <w:rPr>
                <w:rFonts w:ascii="Georgia" w:hAnsi="Georgia"/>
                <w:color w:val="333333"/>
                <w:sz w:val="20"/>
              </w:rPr>
              <w:t>TCA Typologies</w:t>
            </w:r>
          </w:p>
        </w:tc>
        <w:tc>
          <w:tcPr>
            <w:tcW w:type="dxa" w:w="2160"/>
          </w:tcPr>
          <w:p>
            <w:pPr>
              <w:spacing w:before="40" w:after="40"/>
            </w:pPr>
            <w:r>
              <w:rPr>
                <w:rFonts w:ascii="Georgia" w:hAnsi="Georgia"/>
                <w:color w:val="333333"/>
                <w:sz w:val="20"/>
              </w:rPr>
              <w:t>2</w:t>
            </w:r>
          </w:p>
        </w:tc>
        <w:tc>
          <w:tcPr>
            <w:tcW w:type="dxa" w:w="2160"/>
          </w:tcPr>
          <w:p>
            <w:pPr>
              <w:spacing w:before="40" w:after="40"/>
            </w:pPr>
            <w:r>
              <w:rPr>
                <w:rFonts w:ascii="Georgia" w:hAnsi="Georgia"/>
                <w:color w:val="333333"/>
                <w:sz w:val="20"/>
              </w:rPr>
              <w:t>2</w:t>
            </w:r>
          </w:p>
        </w:tc>
        <w:tc>
          <w:tcPr>
            <w:tcW w:type="dxa" w:w="2160"/>
          </w:tcPr>
          <w:p>
            <w:pPr>
              <w:spacing w:before="40" w:after="40"/>
            </w:pPr>
            <w:r>
              <w:rPr>
                <w:rFonts w:ascii="Georgia" w:hAnsi="Georgia"/>
                <w:color w:val="333333"/>
                <w:sz w:val="20"/>
              </w:rPr>
              <w:t>Above threshold</w:t>
            </w:r>
          </w:p>
        </w:tc>
      </w:tr>
    </w:tbl>
    <w:p>
      <w:pPr>
        <w:pStyle w:val="Heading2"/>
      </w:pPr>
      <w:r>
        <w:t>IV. Structural Findings</w:t>
      </w:r>
    </w:p>
    <w:p>
      <w:r>
        <w:rPr>
          <w:rFonts w:ascii="Georgia" w:hAnsi="Georgia"/>
          <w:b/>
          <w:color w:val="333333"/>
          <w:sz w:val="22"/>
        </w:rPr>
        <w:t xml:space="preserve">PROC-001: </w:t>
      </w:r>
      <w:r>
        <w:rPr>
          <w:rFonts w:ascii="Georgia" w:hAnsi="Georgia"/>
          <w:color w:val="333333"/>
          <w:sz w:val="22"/>
        </w:rPr>
        <w:t>Direct award of USD 27,838,030 exceeds competitive threshold (USD 100,000)</w:t>
      </w:r>
    </w:p>
    <w:p>
      <w:pPr>
        <w:ind w:left="720"/>
      </w:pPr>
      <w:r>
        <w:rPr>
          <w:rFonts w:ascii="Georgia" w:hAnsi="Georgia"/>
          <w:b/>
          <w:color w:val="333333"/>
          <w:sz w:val="18"/>
        </w:rPr>
        <w:t xml:space="preserve">Legal citations: </w:t>
      </w:r>
      <w:r>
        <w:rPr>
          <w:rFonts w:ascii="Georgia" w:hAnsi="Georgia"/>
          <w:color w:val="333333"/>
          <w:sz w:val="18"/>
        </w:rPr>
        <w:t>UNCAC Art. 9(1) — Public procurement systems based on transparency, competition and objective criteria; UNCAC Art. 9(2) — Public finance management measures; UNCAC Art. 12 — Private sector measures against corruption; UNCAC Art. 15 — Bribery of national public officials; UNCAC Art. 16 — Bribery of foreign public officials and officials of public international organizations; UNCAC Art. 17 — Embezzlement, misappropriation or other diversion of property by a public official; UNCAC Art. 18 — Trading in influence; OECD Anti-Bribery Convention 1997 — Convention on Combating Bribery of Foreign Public Officials in International Business Transactions; OECD Recommendation on Public Procurement 2015 — OECD/LEGAL/0411; Federal Acquisition Regulation (FAR) Part 6 — Competition Requirements; FAR Part 15 — Contracting by Negotiation; FAR Part 13 — Simplified Acquisition Procedures</w:t>
      </w:r>
    </w:p>
    <w:p>
      <w:r>
        <w:rPr>
          <w:rFonts w:ascii="Georgia" w:hAnsi="Georgia"/>
          <w:b/>
          <w:color w:val="333333"/>
          <w:sz w:val="22"/>
        </w:rPr>
        <w:t xml:space="preserve">FIN-001: </w:t>
      </w:r>
      <w:r>
        <w:rPr>
          <w:rFonts w:ascii="Georgia" w:hAnsi="Georgia"/>
          <w:color w:val="333333"/>
          <w:sz w:val="22"/>
        </w:rPr>
        <w:t>Award (USD 148,287,618) exceeds tender (USD 27,838,030) by 432.7%</w:t>
      </w:r>
    </w:p>
    <w:p>
      <w:pPr>
        <w:ind w:left="720"/>
      </w:pPr>
      <w:r>
        <w:rPr>
          <w:rFonts w:ascii="Georgia" w:hAnsi="Georgia"/>
          <w:b/>
          <w:color w:val="333333"/>
          <w:sz w:val="18"/>
        </w:rPr>
        <w:t xml:space="preserve">Legal citations: </w:t>
      </w:r>
      <w:r>
        <w:rPr>
          <w:rFonts w:ascii="Georgia" w:hAnsi="Georgia"/>
          <w:color w:val="333333"/>
          <w:sz w:val="18"/>
        </w:rPr>
        <w:t>World Bank Procurement Framework; UNDP POPP Contract Modifications policy; MJPIS empirical markup floor (sub-task 2.3.7)</w:t>
      </w:r>
    </w:p>
    <w:p>
      <w:pPr>
        <w:pStyle w:val="Heading2"/>
      </w:pPr>
      <w:r>
        <w:t>V. Reproducibility</w:t>
      </w:r>
    </w:p>
    <w:p>
      <w:r>
        <w:t>Analysis timestamp: 2026-04-14T13:57:59.702495+00:00. Processing time: 50.1 ms. Full ContractDossier available in demo/contracts_analyzed.json. This contract is among the nine DOJ-prosecuted reference cases that constitute SUNLIGHT's institutional credibility floor. Its RED verdict is preserved across every engine modification since the validation baseline was established; the 100% recall invariant on the nine cases holds byte-identically across more than thirty consecutive commits in the current architecture arc.</w:t>
      </w:r>
    </w:p>
    <w:p>
      <w:r>
        <w:br w:type="page"/>
      </w:r>
    </w:p>
    <w:p>
      <w:pPr>
        <w:pStyle w:val="Heading1"/>
      </w:pPr>
      <w:r>
        <w:t>Case 5a: Jurisdiction Comparison (US Federal Profile)</w:t>
      </w:r>
    </w:p>
    <w:p>
      <w:pPr>
        <w:spacing w:before="40" w:after="120"/>
        <w:pBdr>
          <w:bottom w:val="single" w:sz="4" w:space="1" w:color="1A2A44"/>
        </w:pBdr>
      </w:pPr>
    </w:p>
    <w:p>
      <w:pPr>
        <w:pStyle w:val="Heading2"/>
      </w:pPr>
      <w:r>
        <w:t>I. Contract Identification</w:t>
      </w:r>
    </w:p>
    <w:tbl>
      <w:tblPr>
        <w:tblW w:type="auto" w:w="0"/>
        <w:jc w:val="left"/>
        <w:tblLook w:firstColumn="1" w:firstRow="1" w:lastColumn="0" w:lastRow="0" w:noHBand="0" w:noVBand="1" w:val="04A0"/>
        <w:tblBorders>
          <w:top w:val="single" w:sz="4" w:space="0" w:color="1A2A44"/>
          <w:bottom w:val="single" w:sz="4" w:space="0" w:color="1A2A44"/>
          <w:insideH w:val="none" w:sz="0" w:space="0" w:color="auto"/>
          <w:insideV w:val="none" w:sz="0" w:space="0" w:color="auto"/>
          <w:left w:val="none" w:sz="0" w:space="0" w:color="auto"/>
          <w:right w:val="none" w:sz="0" w:space="0" w:color="auto"/>
        </w:tblBorders>
      </w:tblPr>
      <w:tblGrid>
        <w:gridCol w:w="4320"/>
        <w:gridCol w:w="4320"/>
      </w:tblGrid>
      <w:tr>
        <w:tc>
          <w:tcPr>
            <w:tcW w:type="dxa" w:w="4320"/>
          </w:tcPr>
          <w:p>
            <w:pPr>
              <w:spacing w:before="40" w:after="40"/>
            </w:pPr>
            <w:r>
              <w:rPr>
                <w:rFonts w:ascii="Georgia" w:hAnsi="Georgia"/>
                <w:b/>
                <w:color w:val="333333"/>
                <w:sz w:val="20"/>
              </w:rPr>
              <w:t>Awarding agency</w:t>
            </w:r>
          </w:p>
        </w:tc>
        <w:tc>
          <w:tcPr>
            <w:tcW w:type="dxa" w:w="4320"/>
          </w:tcPr>
          <w:p>
            <w:pPr>
              <w:spacing w:before="40" w:after="40"/>
            </w:pPr>
            <w:r>
              <w:rPr>
                <w:rFonts w:ascii="Georgia" w:hAnsi="Georgia"/>
                <w:color w:val="333333"/>
                <w:sz w:val="20"/>
              </w:rPr>
              <w:t>Department of Defense</w:t>
            </w:r>
          </w:p>
        </w:tc>
      </w:tr>
      <w:tr>
        <w:tc>
          <w:tcPr>
            <w:tcW w:type="dxa" w:w="4320"/>
          </w:tcPr>
          <w:p>
            <w:pPr>
              <w:spacing w:before="40" w:after="40"/>
            </w:pPr>
            <w:r>
              <w:rPr>
                <w:rFonts w:ascii="Georgia" w:hAnsi="Georgia"/>
                <w:b/>
                <w:color w:val="333333"/>
                <w:sz w:val="20"/>
              </w:rPr>
              <w:t>Vendor</w:t>
            </w:r>
          </w:p>
        </w:tc>
        <w:tc>
          <w:tcPr>
            <w:tcW w:type="dxa" w:w="4320"/>
          </w:tcPr>
          <w:p>
            <w:pPr>
              <w:spacing w:before="40" w:after="40"/>
            </w:pPr>
            <w:r>
              <w:rPr>
                <w:rFonts w:ascii="Georgia" w:hAnsi="Georgia"/>
                <w:color w:val="333333"/>
                <w:sz w:val="20"/>
              </w:rPr>
              <w:t>CONCURRENT TECHNOLOGIES CORP</w:t>
            </w:r>
          </w:p>
        </w:tc>
      </w:tr>
      <w:tr>
        <w:tc>
          <w:tcPr>
            <w:tcW w:type="dxa" w:w="4320"/>
          </w:tcPr>
          <w:p>
            <w:pPr>
              <w:spacing w:before="40" w:after="40"/>
            </w:pPr>
            <w:r>
              <w:rPr>
                <w:rFonts w:ascii="Georgia" w:hAnsi="Georgia"/>
                <w:b/>
                <w:color w:val="333333"/>
                <w:sz w:val="20"/>
              </w:rPr>
              <w:t>Contract value</w:t>
            </w:r>
          </w:p>
        </w:tc>
        <w:tc>
          <w:tcPr>
            <w:tcW w:type="dxa" w:w="4320"/>
          </w:tcPr>
          <w:p>
            <w:pPr>
              <w:spacing w:before="40" w:after="40"/>
            </w:pPr>
            <w:r>
              <w:rPr>
                <w:rFonts w:ascii="Georgia" w:hAnsi="Georgia"/>
                <w:color w:val="333333"/>
                <w:sz w:val="20"/>
              </w:rPr>
              <w:t>USD 49,985,204</w:t>
            </w:r>
          </w:p>
        </w:tc>
      </w:tr>
      <w:tr>
        <w:tc>
          <w:tcPr>
            <w:tcW w:type="dxa" w:w="4320"/>
          </w:tcPr>
          <w:p>
            <w:pPr>
              <w:spacing w:before="40" w:after="40"/>
            </w:pPr>
            <w:r>
              <w:rPr>
                <w:rFonts w:ascii="Georgia" w:hAnsi="Georgia"/>
                <w:b/>
                <w:color w:val="333333"/>
                <w:sz w:val="20"/>
              </w:rPr>
              <w:t>Award date</w:t>
            </w:r>
          </w:p>
        </w:tc>
        <w:tc>
          <w:tcPr>
            <w:tcW w:type="dxa" w:w="4320"/>
          </w:tcPr>
          <w:p>
            <w:pPr>
              <w:spacing w:before="40" w:after="40"/>
            </w:pPr>
            <w:r>
              <w:rPr>
                <w:rFonts w:ascii="Georgia" w:hAnsi="Georgia"/>
                <w:color w:val="333333"/>
                <w:sz w:val="20"/>
              </w:rPr>
              <w:t>2008-03-24</w:t>
            </w:r>
          </w:p>
        </w:tc>
      </w:tr>
      <w:tr>
        <w:tc>
          <w:tcPr>
            <w:tcW w:type="dxa" w:w="4320"/>
          </w:tcPr>
          <w:p>
            <w:pPr>
              <w:spacing w:before="40" w:after="40"/>
            </w:pPr>
            <w:r>
              <w:rPr>
                <w:rFonts w:ascii="Georgia" w:hAnsi="Georgia"/>
                <w:b/>
                <w:color w:val="333333"/>
                <w:sz w:val="20"/>
              </w:rPr>
              <w:t>Description</w:t>
            </w:r>
          </w:p>
        </w:tc>
        <w:tc>
          <w:tcPr>
            <w:tcW w:type="dxa" w:w="4320"/>
          </w:tcPr>
          <w:p>
            <w:pPr>
              <w:spacing w:before="40" w:after="40"/>
            </w:pPr>
            <w:r>
              <w:rPr>
                <w:rFonts w:ascii="Georgia" w:hAnsi="Georgia"/>
                <w:color w:val="333333"/>
                <w:sz w:val="20"/>
              </w:rPr>
              <w:t>BASIC EFFORT - EXERCISED PORTION</w:t>
            </w:r>
          </w:p>
        </w:tc>
      </w:tr>
      <w:tr>
        <w:tc>
          <w:tcPr>
            <w:tcW w:type="dxa" w:w="4320"/>
          </w:tcPr>
          <w:p>
            <w:pPr>
              <w:spacing w:before="40" w:after="40"/>
            </w:pPr>
            <w:r>
              <w:rPr>
                <w:rFonts w:ascii="Georgia" w:hAnsi="Georgia"/>
                <w:b/>
                <w:color w:val="333333"/>
                <w:sz w:val="20"/>
              </w:rPr>
              <w:t>Procurement method</w:t>
            </w:r>
          </w:p>
        </w:tc>
        <w:tc>
          <w:tcPr>
            <w:tcW w:type="dxa" w:w="4320"/>
          </w:tcPr>
          <w:p>
            <w:pPr>
              <w:spacing w:before="40" w:after="40"/>
            </w:pPr>
            <w:r>
              <w:rPr>
                <w:rFonts w:ascii="Georgia" w:hAnsi="Georgia"/>
                <w:color w:val="333333"/>
                <w:sz w:val="20"/>
              </w:rPr>
              <w:t>open</w:t>
            </w:r>
          </w:p>
        </w:tc>
      </w:tr>
    </w:tbl>
    <w:p>
      <w:pPr>
        <w:pStyle w:val="Heading2"/>
      </w:pPr>
      <w:r>
        <w:t>II. Verdict</w:t>
      </w:r>
    </w:p>
    <w:p>
      <w:r>
        <w:t>The Evidence Verification Gate returned a YELLOW verdict. One evidence dimension exceeded its applicable threshold under the us_federal_v0 parameter set, indicating a statistical anomaly warranting investigator review. A YELLOW verdict is not an allegation; it is a structured risk indicator.</w:t>
      </w:r>
    </w:p>
    <w:p>
      <w:pPr>
        <w:pStyle w:val="Heading2"/>
      </w:pPr>
      <w:r>
        <w:t>III. Evidence Dimensions</w:t>
      </w:r>
    </w:p>
    <w:tbl>
      <w:tblPr>
        <w:tblW w:type="auto" w:w="0"/>
        <w:jc w:val="left"/>
        <w:tblLook w:firstColumn="1" w:firstRow="1" w:lastColumn="0" w:lastRow="0" w:noHBand="0" w:noVBand="1" w:val="04A0"/>
        <w:tblBorders>
          <w:top w:val="single" w:sz="4" w:space="0" w:color="1A2A44"/>
          <w:bottom w:val="single" w:sz="4" w:space="0" w:color="1A2A44"/>
          <w:insideH w:val="none" w:sz="0" w:space="0" w:color="auto"/>
          <w:insideV w:val="none" w:sz="0" w:space="0" w:color="auto"/>
          <w:left w:val="none" w:sz="0" w:space="0" w:color="auto"/>
          <w:right w:val="none" w:sz="0" w:space="0" w:color="auto"/>
        </w:tblBorders>
      </w:tblPr>
      <w:tblGrid>
        <w:gridCol w:w="2160"/>
        <w:gridCol w:w="2160"/>
        <w:gridCol w:w="2160"/>
        <w:gridCol w:w="2160"/>
      </w:tblGrid>
      <w:tr>
        <w:tc>
          <w:tcPr>
            <w:tcW w:type="dxa" w:w="2160"/>
            <w:shd w:fill="F5F5F5" w:val="clear"/>
            <w:tcBorders>
              <w:bottom w:val="single" w:sz="4" w:space="0" w:color="1A2A44"/>
            </w:tcBorders>
          </w:tcPr>
          <w:p>
            <w:pPr>
              <w:spacing w:before="40" w:after="40"/>
            </w:pPr>
            <w:r>
              <w:rPr>
                <w:rFonts w:ascii="Georgia" w:hAnsi="Georgia"/>
                <w:b/>
                <w:color w:val="333333"/>
                <w:sz w:val="20"/>
              </w:rPr>
              <w:t>Dimension</w:t>
            </w:r>
          </w:p>
        </w:tc>
        <w:tc>
          <w:tcPr>
            <w:tcW w:type="dxa" w:w="2160"/>
            <w:shd w:fill="F5F5F5" w:val="clear"/>
            <w:tcBorders>
              <w:bottom w:val="single" w:sz="4" w:space="0" w:color="1A2A44"/>
            </w:tcBorders>
          </w:tcPr>
          <w:p>
            <w:pPr>
              <w:spacing w:before="40" w:after="40"/>
            </w:pPr>
            <w:r>
              <w:rPr>
                <w:rFonts w:ascii="Georgia" w:hAnsi="Georgia"/>
                <w:b/>
                <w:color w:val="333333"/>
                <w:sz w:val="20"/>
              </w:rPr>
              <w:t>Observed Value</w:t>
            </w:r>
          </w:p>
        </w:tc>
        <w:tc>
          <w:tcPr>
            <w:tcW w:type="dxa" w:w="2160"/>
            <w:shd w:fill="F5F5F5" w:val="clear"/>
            <w:tcBorders>
              <w:bottom w:val="single" w:sz="4" w:space="0" w:color="1A2A44"/>
            </w:tcBorders>
          </w:tcPr>
          <w:p>
            <w:pPr>
              <w:spacing w:before="40" w:after="40"/>
            </w:pPr>
            <w:r>
              <w:rPr>
                <w:rFonts w:ascii="Georgia" w:hAnsi="Georgia"/>
                <w:b/>
                <w:color w:val="333333"/>
                <w:sz w:val="20"/>
              </w:rPr>
              <w:t>Threshold</w:t>
            </w:r>
          </w:p>
        </w:tc>
        <w:tc>
          <w:tcPr>
            <w:tcW w:type="dxa" w:w="2160"/>
            <w:shd w:fill="F5F5F5" w:val="clear"/>
            <w:tcBorders>
              <w:bottom w:val="single" w:sz="4" w:space="0" w:color="1A2A44"/>
            </w:tcBorders>
          </w:tcPr>
          <w:p>
            <w:pPr>
              <w:spacing w:before="40" w:after="40"/>
            </w:pPr>
            <w:r>
              <w:rPr>
                <w:rFonts w:ascii="Georgia" w:hAnsi="Georgia"/>
                <w:b/>
                <w:color w:val="333333"/>
                <w:sz w:val="20"/>
              </w:rPr>
              <w:t>Status</w:t>
            </w:r>
          </w:p>
        </w:tc>
      </w:tr>
      <w:tr>
        <w:tc>
          <w:tcPr>
            <w:tcW w:type="dxa" w:w="2160"/>
          </w:tcPr>
          <w:p>
            <w:pPr>
              <w:spacing w:before="40" w:after="40"/>
            </w:pPr>
            <w:r>
              <w:rPr>
                <w:rFonts w:ascii="Georgia" w:hAnsi="Georgia"/>
                <w:color w:val="333333"/>
                <w:sz w:val="20"/>
              </w:rPr>
              <w:t>CRI Markup Ratio</w:t>
            </w:r>
          </w:p>
        </w:tc>
        <w:tc>
          <w:tcPr>
            <w:tcW w:type="dxa" w:w="2160"/>
          </w:tcPr>
          <w:p>
            <w:pPr>
              <w:spacing w:before="40" w:after="40"/>
            </w:pPr>
            <w:r>
              <w:rPr>
                <w:rFonts w:ascii="Georgia" w:hAnsi="Georgia"/>
                <w:color w:val="333333"/>
                <w:sz w:val="20"/>
              </w:rPr>
              <w:t>0.8187</w:t>
            </w:r>
          </w:p>
        </w:tc>
        <w:tc>
          <w:tcPr>
            <w:tcW w:type="dxa" w:w="2160"/>
          </w:tcPr>
          <w:p>
            <w:pPr>
              <w:spacing w:before="40" w:after="40"/>
            </w:pPr>
            <w:r>
              <w:rPr>
                <w:rFonts w:ascii="Georgia" w:hAnsi="Georgia"/>
                <w:color w:val="333333"/>
                <w:sz w:val="20"/>
              </w:rPr>
              <w:t>0.7500</w:t>
            </w:r>
          </w:p>
        </w:tc>
        <w:tc>
          <w:tcPr>
            <w:tcW w:type="dxa" w:w="2160"/>
          </w:tcPr>
          <w:p>
            <w:pPr>
              <w:spacing w:before="40" w:after="40"/>
            </w:pPr>
            <w:r>
              <w:rPr>
                <w:rFonts w:ascii="Georgia" w:hAnsi="Georgia"/>
                <w:color w:val="333333"/>
                <w:sz w:val="20"/>
              </w:rPr>
              <w:t>Above threshold</w:t>
            </w:r>
          </w:p>
        </w:tc>
      </w:tr>
      <w:tr>
        <w:tc>
          <w:tcPr>
            <w:tcW w:type="dxa" w:w="2160"/>
          </w:tcPr>
          <w:p>
            <w:pPr>
              <w:spacing w:before="40" w:after="40"/>
            </w:pPr>
            <w:r>
              <w:rPr>
                <w:rFonts w:ascii="Georgia" w:hAnsi="Georgia"/>
                <w:color w:val="333333"/>
                <w:sz w:val="20"/>
              </w:rPr>
              <w:t>CRI Bribery Channel</w:t>
            </w:r>
          </w:p>
        </w:tc>
        <w:tc>
          <w:tcPr>
            <w:tcW w:type="dxa" w:w="2160"/>
          </w:tcPr>
          <w:p>
            <w:pPr>
              <w:spacing w:before="40" w:after="40"/>
            </w:pPr>
            <w:r>
              <w:rPr>
                <w:rFonts w:ascii="Georgia" w:hAnsi="Georgia"/>
                <w:color w:val="333333"/>
                <w:sz w:val="20"/>
              </w:rPr>
              <w:t>N/A</w:t>
            </w:r>
          </w:p>
        </w:tc>
        <w:tc>
          <w:tcPr>
            <w:tcW w:type="dxa" w:w="2160"/>
          </w:tcPr>
          <w:p>
            <w:pPr>
              <w:spacing w:before="40" w:after="40"/>
            </w:pPr>
            <w:r>
              <w:rPr>
                <w:rFonts w:ascii="Georgia" w:hAnsi="Georgia"/>
                <w:color w:val="333333"/>
                <w:sz w:val="20"/>
              </w:rPr>
              <w:t>N/A</w:t>
            </w:r>
          </w:p>
        </w:tc>
        <w:tc>
          <w:tcPr>
            <w:tcW w:type="dxa" w:w="2160"/>
          </w:tcPr>
          <w:p>
            <w:pPr>
              <w:spacing w:before="40" w:after="40"/>
            </w:pPr>
            <w:r>
              <w:rPr>
                <w:rFonts w:ascii="Georgia" w:hAnsi="Georgia"/>
                <w:color w:val="333333"/>
                <w:sz w:val="20"/>
              </w:rPr>
              <w:t>Below threshold</w:t>
            </w:r>
          </w:p>
        </w:tc>
      </w:tr>
      <w:tr>
        <w:tc>
          <w:tcPr>
            <w:tcW w:type="dxa" w:w="2160"/>
          </w:tcPr>
          <w:p>
            <w:pPr>
              <w:spacing w:before="40" w:after="40"/>
            </w:pPr>
            <w:r>
              <w:rPr>
                <w:rFonts w:ascii="Georgia" w:hAnsi="Georgia"/>
                <w:color w:val="333333"/>
                <w:sz w:val="20"/>
              </w:rPr>
              <w:t>TCA Typologies</w:t>
            </w:r>
          </w:p>
        </w:tc>
        <w:tc>
          <w:tcPr>
            <w:tcW w:type="dxa" w:w="2160"/>
          </w:tcPr>
          <w:p>
            <w:pPr>
              <w:spacing w:before="40" w:after="40"/>
            </w:pPr>
            <w:r>
              <w:rPr>
                <w:rFonts w:ascii="Georgia" w:hAnsi="Georgia"/>
                <w:color w:val="333333"/>
                <w:sz w:val="20"/>
              </w:rPr>
              <w:t>1</w:t>
            </w:r>
          </w:p>
        </w:tc>
        <w:tc>
          <w:tcPr>
            <w:tcW w:type="dxa" w:w="2160"/>
          </w:tcPr>
          <w:p>
            <w:pPr>
              <w:spacing w:before="40" w:after="40"/>
            </w:pPr>
            <w:r>
              <w:rPr>
                <w:rFonts w:ascii="Georgia" w:hAnsi="Georgia"/>
                <w:color w:val="333333"/>
                <w:sz w:val="20"/>
              </w:rPr>
              <w:t>2</w:t>
            </w:r>
          </w:p>
        </w:tc>
        <w:tc>
          <w:tcPr>
            <w:tcW w:type="dxa" w:w="2160"/>
          </w:tcPr>
          <w:p>
            <w:pPr>
              <w:spacing w:before="40" w:after="40"/>
            </w:pPr>
            <w:r>
              <w:rPr>
                <w:rFonts w:ascii="Georgia" w:hAnsi="Georgia"/>
                <w:color w:val="333333"/>
                <w:sz w:val="20"/>
              </w:rPr>
              <w:t>Below threshold</w:t>
            </w:r>
          </w:p>
        </w:tc>
      </w:tr>
    </w:tbl>
    <w:p>
      <w:pPr>
        <w:pStyle w:val="Heading2"/>
      </w:pPr>
      <w:r>
        <w:t>IV. Structural Findings</w:t>
      </w:r>
    </w:p>
    <w:p>
      <w:r>
        <w:rPr>
          <w:rFonts w:ascii="Georgia" w:hAnsi="Georgia"/>
          <w:b/>
          <w:color w:val="333333"/>
          <w:sz w:val="22"/>
        </w:rPr>
        <w:t xml:space="preserve">FIN-001: </w:t>
      </w:r>
      <w:r>
        <w:rPr>
          <w:rFonts w:ascii="Georgia" w:hAnsi="Georgia"/>
          <w:color w:val="333333"/>
          <w:sz w:val="22"/>
        </w:rPr>
        <w:t>Award (USD 49,985,204) exceeds tender (USD 27,484,029) by 81.9%</w:t>
      </w:r>
    </w:p>
    <w:p>
      <w:pPr>
        <w:ind w:left="720"/>
      </w:pPr>
      <w:r>
        <w:rPr>
          <w:rFonts w:ascii="Georgia" w:hAnsi="Georgia"/>
          <w:b/>
          <w:color w:val="333333"/>
          <w:sz w:val="18"/>
        </w:rPr>
        <w:t xml:space="preserve">Legal citations: </w:t>
      </w:r>
      <w:r>
        <w:rPr>
          <w:rFonts w:ascii="Georgia" w:hAnsi="Georgia"/>
          <w:color w:val="333333"/>
          <w:sz w:val="18"/>
        </w:rPr>
        <w:t>World Bank Procurement Framework; UNDP POPP Contract Modifications policy; MJPIS empirical markup floor (sub-task 2.3.7)</w:t>
      </w:r>
    </w:p>
    <w:p>
      <w:pPr>
        <w:pStyle w:val="Heading2"/>
      </w:pPr>
      <w:r>
        <w:t>V. Reproducibility</w:t>
      </w:r>
    </w:p>
    <w:p>
      <w:r>
        <w:t>Analysis timestamp: 2026-04-14T13:57:59.702495+00:00. Processing time: 2020.7 ms. Full ContractDossier available in demo/contracts_analyzed.json.</w:t>
      </w:r>
    </w:p>
    <w:p>
      <w:r>
        <w:br w:type="page"/>
      </w:r>
    </w:p>
    <w:p>
      <w:pPr>
        <w:pStyle w:val="Heading1"/>
      </w:pPr>
      <w:r>
        <w:t>Case 5b: Jurisdiction Comparison (UK Central Government Profile)</w:t>
      </w:r>
    </w:p>
    <w:p>
      <w:pPr>
        <w:spacing w:before="40" w:after="120"/>
        <w:pBdr>
          <w:bottom w:val="single" w:sz="4" w:space="1" w:color="1A2A44"/>
        </w:pBdr>
      </w:pPr>
    </w:p>
    <w:p>
      <w:pPr>
        <w:pStyle w:val="Heading2"/>
      </w:pPr>
      <w:r>
        <w:t>I. Contract Identification</w:t>
      </w:r>
    </w:p>
    <w:tbl>
      <w:tblPr>
        <w:tblW w:type="auto" w:w="0"/>
        <w:jc w:val="left"/>
        <w:tblLook w:firstColumn="1" w:firstRow="1" w:lastColumn="0" w:lastRow="0" w:noHBand="0" w:noVBand="1" w:val="04A0"/>
        <w:tblBorders>
          <w:top w:val="single" w:sz="4" w:space="0" w:color="1A2A44"/>
          <w:bottom w:val="single" w:sz="4" w:space="0" w:color="1A2A44"/>
          <w:insideH w:val="none" w:sz="0" w:space="0" w:color="auto"/>
          <w:insideV w:val="none" w:sz="0" w:space="0" w:color="auto"/>
          <w:left w:val="none" w:sz="0" w:space="0" w:color="auto"/>
          <w:right w:val="none" w:sz="0" w:space="0" w:color="auto"/>
        </w:tblBorders>
      </w:tblPr>
      <w:tblGrid>
        <w:gridCol w:w="4320"/>
        <w:gridCol w:w="4320"/>
      </w:tblGrid>
      <w:tr>
        <w:tc>
          <w:tcPr>
            <w:tcW w:type="dxa" w:w="4320"/>
          </w:tcPr>
          <w:p>
            <w:pPr>
              <w:spacing w:before="40" w:after="40"/>
            </w:pPr>
            <w:r>
              <w:rPr>
                <w:rFonts w:ascii="Georgia" w:hAnsi="Georgia"/>
                <w:b/>
                <w:color w:val="333333"/>
                <w:sz w:val="20"/>
              </w:rPr>
              <w:t>Awarding agency</w:t>
            </w:r>
          </w:p>
        </w:tc>
        <w:tc>
          <w:tcPr>
            <w:tcW w:type="dxa" w:w="4320"/>
          </w:tcPr>
          <w:p>
            <w:pPr>
              <w:spacing w:before="40" w:after="40"/>
            </w:pPr>
            <w:r>
              <w:rPr>
                <w:rFonts w:ascii="Georgia" w:hAnsi="Georgia"/>
                <w:color w:val="333333"/>
                <w:sz w:val="20"/>
              </w:rPr>
              <w:t>Department of Defense</w:t>
            </w:r>
          </w:p>
        </w:tc>
      </w:tr>
      <w:tr>
        <w:tc>
          <w:tcPr>
            <w:tcW w:type="dxa" w:w="4320"/>
          </w:tcPr>
          <w:p>
            <w:pPr>
              <w:spacing w:before="40" w:after="40"/>
            </w:pPr>
            <w:r>
              <w:rPr>
                <w:rFonts w:ascii="Georgia" w:hAnsi="Georgia"/>
                <w:b/>
                <w:color w:val="333333"/>
                <w:sz w:val="20"/>
              </w:rPr>
              <w:t>Vendor</w:t>
            </w:r>
          </w:p>
        </w:tc>
        <w:tc>
          <w:tcPr>
            <w:tcW w:type="dxa" w:w="4320"/>
          </w:tcPr>
          <w:p>
            <w:pPr>
              <w:spacing w:before="40" w:after="40"/>
            </w:pPr>
            <w:r>
              <w:rPr>
                <w:rFonts w:ascii="Georgia" w:hAnsi="Georgia"/>
                <w:color w:val="333333"/>
                <w:sz w:val="20"/>
              </w:rPr>
              <w:t>CONCURRENT TECHNOLOGIES CORP</w:t>
            </w:r>
          </w:p>
        </w:tc>
      </w:tr>
      <w:tr>
        <w:tc>
          <w:tcPr>
            <w:tcW w:type="dxa" w:w="4320"/>
          </w:tcPr>
          <w:p>
            <w:pPr>
              <w:spacing w:before="40" w:after="40"/>
            </w:pPr>
            <w:r>
              <w:rPr>
                <w:rFonts w:ascii="Georgia" w:hAnsi="Georgia"/>
                <w:b/>
                <w:color w:val="333333"/>
                <w:sz w:val="20"/>
              </w:rPr>
              <w:t>Contract value</w:t>
            </w:r>
          </w:p>
        </w:tc>
        <w:tc>
          <w:tcPr>
            <w:tcW w:type="dxa" w:w="4320"/>
          </w:tcPr>
          <w:p>
            <w:pPr>
              <w:spacing w:before="40" w:after="40"/>
            </w:pPr>
            <w:r>
              <w:rPr>
                <w:rFonts w:ascii="Georgia" w:hAnsi="Georgia"/>
                <w:color w:val="333333"/>
                <w:sz w:val="20"/>
              </w:rPr>
              <w:t>USD 49,985,204</w:t>
            </w:r>
          </w:p>
        </w:tc>
      </w:tr>
      <w:tr>
        <w:tc>
          <w:tcPr>
            <w:tcW w:type="dxa" w:w="4320"/>
          </w:tcPr>
          <w:p>
            <w:pPr>
              <w:spacing w:before="40" w:after="40"/>
            </w:pPr>
            <w:r>
              <w:rPr>
                <w:rFonts w:ascii="Georgia" w:hAnsi="Georgia"/>
                <w:b/>
                <w:color w:val="333333"/>
                <w:sz w:val="20"/>
              </w:rPr>
              <w:t>Award date</w:t>
            </w:r>
          </w:p>
        </w:tc>
        <w:tc>
          <w:tcPr>
            <w:tcW w:type="dxa" w:w="4320"/>
          </w:tcPr>
          <w:p>
            <w:pPr>
              <w:spacing w:before="40" w:after="40"/>
            </w:pPr>
            <w:r>
              <w:rPr>
                <w:rFonts w:ascii="Georgia" w:hAnsi="Georgia"/>
                <w:color w:val="333333"/>
                <w:sz w:val="20"/>
              </w:rPr>
              <w:t>2008-03-24</w:t>
            </w:r>
          </w:p>
        </w:tc>
      </w:tr>
      <w:tr>
        <w:tc>
          <w:tcPr>
            <w:tcW w:type="dxa" w:w="4320"/>
          </w:tcPr>
          <w:p>
            <w:pPr>
              <w:spacing w:before="40" w:after="40"/>
            </w:pPr>
            <w:r>
              <w:rPr>
                <w:rFonts w:ascii="Georgia" w:hAnsi="Georgia"/>
                <w:b/>
                <w:color w:val="333333"/>
                <w:sz w:val="20"/>
              </w:rPr>
              <w:t>Description</w:t>
            </w:r>
          </w:p>
        </w:tc>
        <w:tc>
          <w:tcPr>
            <w:tcW w:type="dxa" w:w="4320"/>
          </w:tcPr>
          <w:p>
            <w:pPr>
              <w:spacing w:before="40" w:after="40"/>
            </w:pPr>
            <w:r>
              <w:rPr>
                <w:rFonts w:ascii="Georgia" w:hAnsi="Georgia"/>
                <w:color w:val="333333"/>
                <w:sz w:val="20"/>
              </w:rPr>
              <w:t>BASIC EFFORT - EXERCISED PORTION</w:t>
            </w:r>
          </w:p>
        </w:tc>
      </w:tr>
      <w:tr>
        <w:tc>
          <w:tcPr>
            <w:tcW w:type="dxa" w:w="4320"/>
          </w:tcPr>
          <w:p>
            <w:pPr>
              <w:spacing w:before="40" w:after="40"/>
            </w:pPr>
            <w:r>
              <w:rPr>
                <w:rFonts w:ascii="Georgia" w:hAnsi="Georgia"/>
                <w:b/>
                <w:color w:val="333333"/>
                <w:sz w:val="20"/>
              </w:rPr>
              <w:t>Procurement method</w:t>
            </w:r>
          </w:p>
        </w:tc>
        <w:tc>
          <w:tcPr>
            <w:tcW w:type="dxa" w:w="4320"/>
          </w:tcPr>
          <w:p>
            <w:pPr>
              <w:spacing w:before="40" w:after="40"/>
            </w:pPr>
            <w:r>
              <w:rPr>
                <w:rFonts w:ascii="Georgia" w:hAnsi="Georgia"/>
                <w:color w:val="333333"/>
                <w:sz w:val="20"/>
              </w:rPr>
              <w:t>open</w:t>
            </w:r>
          </w:p>
        </w:tc>
      </w:tr>
    </w:tbl>
    <w:p>
      <w:pPr>
        <w:pStyle w:val="Heading2"/>
      </w:pPr>
      <w:r>
        <w:t>II. Verdict</w:t>
      </w:r>
    </w:p>
    <w:p>
      <w:r>
        <w:t>The Evidence Verification Gate returned a RED verdict. 2 evidence dimensions exceeded their applicable thresholds simultaneously under the uk_central_government parameter set.</w:t>
      </w:r>
    </w:p>
    <w:p>
      <w:pPr>
        <w:pStyle w:val="Heading2"/>
      </w:pPr>
      <w:r>
        <w:t>III. Evidence Dimensions</w:t>
      </w:r>
    </w:p>
    <w:tbl>
      <w:tblPr>
        <w:tblW w:type="auto" w:w="0"/>
        <w:jc w:val="left"/>
        <w:tblLook w:firstColumn="1" w:firstRow="1" w:lastColumn="0" w:lastRow="0" w:noHBand="0" w:noVBand="1" w:val="04A0"/>
        <w:tblBorders>
          <w:top w:val="single" w:sz="4" w:space="0" w:color="1A2A44"/>
          <w:bottom w:val="single" w:sz="4" w:space="0" w:color="1A2A44"/>
          <w:insideH w:val="none" w:sz="0" w:space="0" w:color="auto"/>
          <w:insideV w:val="none" w:sz="0" w:space="0" w:color="auto"/>
          <w:left w:val="none" w:sz="0" w:space="0" w:color="auto"/>
          <w:right w:val="none" w:sz="0" w:space="0" w:color="auto"/>
        </w:tblBorders>
      </w:tblPr>
      <w:tblGrid>
        <w:gridCol w:w="2160"/>
        <w:gridCol w:w="2160"/>
        <w:gridCol w:w="2160"/>
        <w:gridCol w:w="2160"/>
      </w:tblGrid>
      <w:tr>
        <w:tc>
          <w:tcPr>
            <w:tcW w:type="dxa" w:w="2160"/>
            <w:shd w:fill="F5F5F5" w:val="clear"/>
            <w:tcBorders>
              <w:bottom w:val="single" w:sz="4" w:space="0" w:color="1A2A44"/>
            </w:tcBorders>
          </w:tcPr>
          <w:p>
            <w:pPr>
              <w:spacing w:before="40" w:after="40"/>
            </w:pPr>
            <w:r>
              <w:rPr>
                <w:rFonts w:ascii="Georgia" w:hAnsi="Georgia"/>
                <w:b/>
                <w:color w:val="333333"/>
                <w:sz w:val="20"/>
              </w:rPr>
              <w:t>Dimension</w:t>
            </w:r>
          </w:p>
        </w:tc>
        <w:tc>
          <w:tcPr>
            <w:tcW w:type="dxa" w:w="2160"/>
            <w:shd w:fill="F5F5F5" w:val="clear"/>
            <w:tcBorders>
              <w:bottom w:val="single" w:sz="4" w:space="0" w:color="1A2A44"/>
            </w:tcBorders>
          </w:tcPr>
          <w:p>
            <w:pPr>
              <w:spacing w:before="40" w:after="40"/>
            </w:pPr>
            <w:r>
              <w:rPr>
                <w:rFonts w:ascii="Georgia" w:hAnsi="Georgia"/>
                <w:b/>
                <w:color w:val="333333"/>
                <w:sz w:val="20"/>
              </w:rPr>
              <w:t>Observed Value</w:t>
            </w:r>
          </w:p>
        </w:tc>
        <w:tc>
          <w:tcPr>
            <w:tcW w:type="dxa" w:w="2160"/>
            <w:shd w:fill="F5F5F5" w:val="clear"/>
            <w:tcBorders>
              <w:bottom w:val="single" w:sz="4" w:space="0" w:color="1A2A44"/>
            </w:tcBorders>
          </w:tcPr>
          <w:p>
            <w:pPr>
              <w:spacing w:before="40" w:after="40"/>
            </w:pPr>
            <w:r>
              <w:rPr>
                <w:rFonts w:ascii="Georgia" w:hAnsi="Georgia"/>
                <w:b/>
                <w:color w:val="333333"/>
                <w:sz w:val="20"/>
              </w:rPr>
              <w:t>Threshold</w:t>
            </w:r>
          </w:p>
        </w:tc>
        <w:tc>
          <w:tcPr>
            <w:tcW w:type="dxa" w:w="2160"/>
            <w:shd w:fill="F5F5F5" w:val="clear"/>
            <w:tcBorders>
              <w:bottom w:val="single" w:sz="4" w:space="0" w:color="1A2A44"/>
            </w:tcBorders>
          </w:tcPr>
          <w:p>
            <w:pPr>
              <w:spacing w:before="40" w:after="40"/>
            </w:pPr>
            <w:r>
              <w:rPr>
                <w:rFonts w:ascii="Georgia" w:hAnsi="Georgia"/>
                <w:b/>
                <w:color w:val="333333"/>
                <w:sz w:val="20"/>
              </w:rPr>
              <w:t>Status</w:t>
            </w:r>
          </w:p>
        </w:tc>
      </w:tr>
      <w:tr>
        <w:tc>
          <w:tcPr>
            <w:tcW w:type="dxa" w:w="2160"/>
          </w:tcPr>
          <w:p>
            <w:pPr>
              <w:spacing w:before="40" w:after="40"/>
            </w:pPr>
            <w:r>
              <w:rPr>
                <w:rFonts w:ascii="Georgia" w:hAnsi="Georgia"/>
                <w:color w:val="333333"/>
                <w:sz w:val="20"/>
              </w:rPr>
              <w:t>CRI Markup Ratio</w:t>
            </w:r>
          </w:p>
        </w:tc>
        <w:tc>
          <w:tcPr>
            <w:tcW w:type="dxa" w:w="2160"/>
          </w:tcPr>
          <w:p>
            <w:pPr>
              <w:spacing w:before="40" w:after="40"/>
            </w:pPr>
            <w:r>
              <w:rPr>
                <w:rFonts w:ascii="Georgia" w:hAnsi="Georgia"/>
                <w:color w:val="333333"/>
                <w:sz w:val="20"/>
              </w:rPr>
              <w:t>0.8187</w:t>
            </w:r>
          </w:p>
        </w:tc>
        <w:tc>
          <w:tcPr>
            <w:tcW w:type="dxa" w:w="2160"/>
          </w:tcPr>
          <w:p>
            <w:pPr>
              <w:spacing w:before="40" w:after="40"/>
            </w:pPr>
            <w:r>
              <w:rPr>
                <w:rFonts w:ascii="Georgia" w:hAnsi="Georgia"/>
                <w:color w:val="333333"/>
                <w:sz w:val="20"/>
              </w:rPr>
              <w:t>0.7500</w:t>
            </w:r>
          </w:p>
        </w:tc>
        <w:tc>
          <w:tcPr>
            <w:tcW w:type="dxa" w:w="2160"/>
          </w:tcPr>
          <w:p>
            <w:pPr>
              <w:spacing w:before="40" w:after="40"/>
            </w:pPr>
            <w:r>
              <w:rPr>
                <w:rFonts w:ascii="Georgia" w:hAnsi="Georgia"/>
                <w:color w:val="333333"/>
                <w:sz w:val="20"/>
              </w:rPr>
              <w:t>Above threshold</w:t>
            </w:r>
          </w:p>
        </w:tc>
      </w:tr>
      <w:tr>
        <w:tc>
          <w:tcPr>
            <w:tcW w:type="dxa" w:w="2160"/>
          </w:tcPr>
          <w:p>
            <w:pPr>
              <w:spacing w:before="40" w:after="40"/>
            </w:pPr>
            <w:r>
              <w:rPr>
                <w:rFonts w:ascii="Georgia" w:hAnsi="Georgia"/>
                <w:color w:val="333333"/>
                <w:sz w:val="20"/>
              </w:rPr>
              <w:t>CRI Bribery Channel</w:t>
            </w:r>
          </w:p>
        </w:tc>
        <w:tc>
          <w:tcPr>
            <w:tcW w:type="dxa" w:w="2160"/>
          </w:tcPr>
          <w:p>
            <w:pPr>
              <w:spacing w:before="40" w:after="40"/>
            </w:pPr>
            <w:r>
              <w:rPr>
                <w:rFonts w:ascii="Georgia" w:hAnsi="Georgia"/>
                <w:color w:val="333333"/>
                <w:sz w:val="20"/>
              </w:rPr>
              <w:t>N/A</w:t>
            </w:r>
          </w:p>
        </w:tc>
        <w:tc>
          <w:tcPr>
            <w:tcW w:type="dxa" w:w="2160"/>
          </w:tcPr>
          <w:p>
            <w:pPr>
              <w:spacing w:before="40" w:after="40"/>
            </w:pPr>
            <w:r>
              <w:rPr>
                <w:rFonts w:ascii="Georgia" w:hAnsi="Georgia"/>
                <w:color w:val="333333"/>
                <w:sz w:val="20"/>
              </w:rPr>
              <w:t>N/A</w:t>
            </w:r>
          </w:p>
        </w:tc>
        <w:tc>
          <w:tcPr>
            <w:tcW w:type="dxa" w:w="2160"/>
          </w:tcPr>
          <w:p>
            <w:pPr>
              <w:spacing w:before="40" w:after="40"/>
            </w:pPr>
            <w:r>
              <w:rPr>
                <w:rFonts w:ascii="Georgia" w:hAnsi="Georgia"/>
                <w:color w:val="333333"/>
                <w:sz w:val="20"/>
              </w:rPr>
              <w:t>Below threshold</w:t>
            </w:r>
          </w:p>
        </w:tc>
      </w:tr>
      <w:tr>
        <w:tc>
          <w:tcPr>
            <w:tcW w:type="dxa" w:w="2160"/>
          </w:tcPr>
          <w:p>
            <w:pPr>
              <w:spacing w:before="40" w:after="40"/>
            </w:pPr>
            <w:r>
              <w:rPr>
                <w:rFonts w:ascii="Georgia" w:hAnsi="Georgia"/>
                <w:color w:val="333333"/>
                <w:sz w:val="20"/>
              </w:rPr>
              <w:t>TCA Typologies</w:t>
            </w:r>
          </w:p>
        </w:tc>
        <w:tc>
          <w:tcPr>
            <w:tcW w:type="dxa" w:w="2160"/>
          </w:tcPr>
          <w:p>
            <w:pPr>
              <w:spacing w:before="40" w:after="40"/>
            </w:pPr>
            <w:r>
              <w:rPr>
                <w:rFonts w:ascii="Georgia" w:hAnsi="Georgia"/>
                <w:color w:val="333333"/>
                <w:sz w:val="20"/>
              </w:rPr>
              <w:t>2</w:t>
            </w:r>
          </w:p>
        </w:tc>
        <w:tc>
          <w:tcPr>
            <w:tcW w:type="dxa" w:w="2160"/>
          </w:tcPr>
          <w:p>
            <w:pPr>
              <w:spacing w:before="40" w:after="40"/>
            </w:pPr>
            <w:r>
              <w:rPr>
                <w:rFonts w:ascii="Georgia" w:hAnsi="Georgia"/>
                <w:color w:val="333333"/>
                <w:sz w:val="20"/>
              </w:rPr>
              <w:t>2</w:t>
            </w:r>
          </w:p>
        </w:tc>
        <w:tc>
          <w:tcPr>
            <w:tcW w:type="dxa" w:w="2160"/>
          </w:tcPr>
          <w:p>
            <w:pPr>
              <w:spacing w:before="40" w:after="40"/>
            </w:pPr>
            <w:r>
              <w:rPr>
                <w:rFonts w:ascii="Georgia" w:hAnsi="Georgia"/>
                <w:color w:val="333333"/>
                <w:sz w:val="20"/>
              </w:rPr>
              <w:t>Above threshold</w:t>
            </w:r>
          </w:p>
        </w:tc>
      </w:tr>
    </w:tbl>
    <w:p>
      <w:pPr>
        <w:pStyle w:val="Heading2"/>
      </w:pPr>
      <w:r>
        <w:t>IV. Structural Findings</w:t>
      </w:r>
    </w:p>
    <w:p>
      <w:r>
        <w:rPr>
          <w:rFonts w:ascii="Georgia" w:hAnsi="Georgia"/>
          <w:b/>
          <w:color w:val="333333"/>
          <w:sz w:val="22"/>
        </w:rPr>
        <w:t xml:space="preserve">FIN-001: </w:t>
      </w:r>
      <w:r>
        <w:rPr>
          <w:rFonts w:ascii="Georgia" w:hAnsi="Georgia"/>
          <w:color w:val="333333"/>
          <w:sz w:val="22"/>
        </w:rPr>
        <w:t>Award (USD 49,985,204) exceeds tender (USD 27,484,029) by 81.9%</w:t>
      </w:r>
    </w:p>
    <w:p>
      <w:pPr>
        <w:ind w:left="720"/>
      </w:pPr>
      <w:r>
        <w:rPr>
          <w:rFonts w:ascii="Georgia" w:hAnsi="Georgia"/>
          <w:b/>
          <w:color w:val="333333"/>
          <w:sz w:val="18"/>
        </w:rPr>
        <w:t xml:space="preserve">Legal citations: </w:t>
      </w:r>
      <w:r>
        <w:rPr>
          <w:rFonts w:ascii="Georgia" w:hAnsi="Georgia"/>
          <w:color w:val="333333"/>
          <w:sz w:val="18"/>
        </w:rPr>
        <w:t>World Bank Procurement Framework; UNDP POPP Contract Modifications policy; MJPIS empirical markup floor (sub-task 2.3.7)</w:t>
      </w:r>
    </w:p>
    <w:p>
      <w:r>
        <w:rPr>
          <w:rFonts w:ascii="Georgia" w:hAnsi="Georgia"/>
          <w:b/>
          <w:color w:val="333333"/>
          <w:sz w:val="22"/>
        </w:rPr>
        <w:t xml:space="preserve">TIME-001: </w:t>
      </w:r>
      <w:r>
        <w:rPr>
          <w:rFonts w:ascii="Georgia" w:hAnsi="Georgia"/>
          <w:color w:val="333333"/>
          <w:sz w:val="22"/>
        </w:rPr>
        <w:t>Award in final 2 weeks of fiscal period (month 3, day 24)</w:t>
      </w:r>
    </w:p>
    <w:p>
      <w:pPr>
        <w:ind w:left="720"/>
      </w:pPr>
      <w:r>
        <w:rPr>
          <w:rFonts w:ascii="Georgia" w:hAnsi="Georgia"/>
          <w:b/>
          <w:color w:val="333333"/>
          <w:sz w:val="18"/>
        </w:rPr>
        <w:t xml:space="preserve">Legal citations: </w:t>
      </w:r>
      <w:r>
        <w:rPr>
          <w:rFonts w:ascii="Georgia" w:hAnsi="Georgia"/>
          <w:color w:val="333333"/>
          <w:sz w:val="18"/>
        </w:rPr>
        <w:t>Fazekas fiscal pressure research; OECD public procurement timing analysis; Senegal case (award 8 days before fiscal close)</w:t>
      </w:r>
    </w:p>
    <w:p>
      <w:pPr>
        <w:pStyle w:val="Heading2"/>
      </w:pPr>
      <w:r>
        <w:t>V. Reproducibility</w:t>
      </w:r>
    </w:p>
    <w:p>
      <w:r>
        <w:t>Analysis timestamp: 2026-04-14T13:57:59.702495+00:00. Processing time: 2023.3 ms. Full ContractDossier available in demo/contracts_analyzed.json.</w:t>
      </w:r>
    </w:p>
    <w:p>
      <w:pPr>
        <w:pStyle w:val="Heading2"/>
      </w:pPr>
      <w:r>
        <w:t>Jurisdiction Delta Commentary</w:t>
      </w:r>
    </w:p>
    <w:p>
      <w:r>
        <w:t>The behavioral delta between the two profiles is not stylistic but structural. TIME-001 fires under UK because the contract's award date (2008-03-24) falls within seven days of the UK fiscal year-end (March 31); it does not fire under US federal because March is a safe month in the US federal fiscal calendar (year-end September 30). The same contract code, the same engine, the same 16 TCA rules — two jurisdiction profiles, two jurisdiction-correct outputs, no code change. This is the JurisdictionProfile architecture in operational form.</w:t>
      </w:r>
    </w:p>
    <w:p>
      <w:pPr>
        <w:pStyle w:val="Heading3"/>
      </w:pPr>
      <w:r>
        <w:t>Explicit Deltas</w:t>
      </w:r>
    </w:p>
    <w:p>
      <w:r>
        <w:t>Rules firing only under UK profile: ['TIME-001']</w:t>
      </w:r>
    </w:p>
    <w:p>
      <w:r>
        <w:t>Structural confidence: US=0.75, UK=0.55</w:t>
      </w:r>
    </w:p>
    <w:p>
      <w:r>
        <w:t>EVG verdict: US=yellow, UK=red</w:t>
      </w:r>
    </w:p>
    <w:p>
      <w:r>
        <w:t>Legal citation deltas: 1 rules have different citations</w:t>
      </w:r>
    </w:p>
    <w:p>
      <w:r>
        <w:br w:type="page"/>
      </w:r>
    </w:p>
    <w:p>
      <w:pPr>
        <w:pStyle w:val="Heading1"/>
      </w:pPr>
      <w:r>
        <w:t>Appendix A — Analytical Methodology and Reproducibility</w:t>
      </w:r>
    </w:p>
    <w:p>
      <w:pPr>
        <w:spacing w:before="40" w:after="120"/>
        <w:pBdr>
          <w:bottom w:val="single" w:sz="4" w:space="1" w:color="1A2A44"/>
        </w:pBdr>
      </w:pPr>
    </w:p>
    <w:p>
      <w:pPr>
        <w:pStyle w:val="Heading2"/>
      </w:pPr>
      <w:r>
        <w:t>Three-Engine Architecture</w:t>
      </w:r>
    </w:p>
    <w:p>
      <w:r>
        <w:t>SUNLIGHT employs three analytically independent engines operating in sequence on each contract. The Competitive Risk Indicator (CRI) engine performs statistical price analysis, comparing the contract's award value against a peer group of comparable contracts derived from the production database, producing bootstrap confidence intervals and Bayesian posterior probabilities for markup significance. The Topological Contract Analysis (TCA) engine constructs a directed graph representing the contract's structural relationships — procurement method, financial flows, timing, geographic jurisdiction, entity ownership — and evaluates 16 rules drawn from international anti-corruption frameworks, producing contradiction (REMOVES), aspiration (SEEKS), and verification (VERIFIES) edges. The Evidence Verification Gate (EVG) combines the outputs of both engines against calibrated thresholds to produce the final tiered verdict.</w:t>
      </w:r>
    </w:p>
    <w:p>
      <w:pPr>
        <w:pStyle w:val="Heading2"/>
      </w:pPr>
      <w:r>
        <w:t>MJPIS Intersection Methodology</w:t>
      </w:r>
    </w:p>
    <w:p>
      <w:r>
        <w:t>The Minimum Jurisdictional Prosecutorial Intersection Standard (MJPIS) derives analytical thresholds from a 32-case corpus spanning four mature legal systems: US Department of Justice, UK Serious Fraud Office, French Parquet National Financier, and World Bank Integrity Vice Presidency. For each analytical parameter, the MJPIS derivation identifies the value that would survive evidentiary scrutiny in all four jurisdictions simultaneously. Current derived values: markup floor ratio 0.501, bribery-channel ratio 0.0058, administrative sanctionable threshold 18 months. This intersection methodology produces thresholds that are architecturally over-defensible rather than under-defensible.</w:t>
      </w:r>
    </w:p>
    <w:p>
      <w:pPr>
        <w:pStyle w:val="Heading2"/>
      </w:pPr>
      <w:r>
        <w:t>Jurisdiction Profile Architecture</w:t>
      </w:r>
    </w:p>
    <w:p>
      <w:r>
        <w:t>SUNLIGHT implements jurisdiction-specific behavior through parameterized profiles rather than jurisdiction-specific code. Four operational profiles are currently deployed: us_federal, uk_central_government, fr_central_government, and wb_international. Each profile specifies fiscal calendar parameters, competitive thresholds, entity registration requirements, and legal citation libraries. Adding a new country profile is a data parameterization task, not a code change. The same 16 TCA rules and the same EVG gate logic operate identically across all profiles; the behavioral delta between jurisdictions is produced entirely by the profile parameters.</w:t>
      </w:r>
    </w:p>
    <w:p>
      <w:pPr>
        <w:pStyle w:val="Heading2"/>
      </w:pPr>
      <w:r>
        <w:t>Evidence Verification Gate and Verdict Tiering</w:t>
      </w:r>
    </w:p>
    <w:p>
      <w:r>
        <w:t>The EVG evaluates three evidence dimensions: CRI Markup Ratio (observed markup against the MJPIS floor), CRI Bribery Channel (reserved for future implementation), and TCA Typologies (count of distinct structural contradiction rules fired). The verdict tiers are: GREEN (zero dimensions above threshold), YELLOW (exactly one dimension above threshold), and RED (two or more dimensions above threshold simultaneously). This multi-dimensional gating ensures that no single statistical anomaly or single structural finding can produce a RED verdict in isolation.</w:t>
      </w:r>
    </w:p>
    <w:p>
      <w:pPr>
        <w:pStyle w:val="Heading2"/>
      </w:pPr>
      <w:r>
        <w:t>Test Suite and Regression Invariants</w:t>
      </w:r>
    </w:p>
    <w:p>
      <w:r>
        <w:t>The SUNLIGHT codebase maintains 682 automated tests covering statistical correctness, structural rule evaluation, EVG gate logic, API endpoints, and security hardening. The institutional credibility floor is maintained through a 100% recall invariant on nine DOJ-prosecuted reference cases, verified byte-identically at every commit: Precision 33.3%, Recall 100.0%, FPR 9.0%, PR-AUC 0.746, Flags/1K 129.2. The EVG integration test (added at commit 85f6ed7) exercises the real production data flow from ContractDossier through TCAGraphRuleEngine, analyze_tca_graph, and the EVG gate, closing the key-mismatch bug class identified at commit 706df82 with counterfactual verification.</w:t>
      </w:r>
    </w:p>
    <w:sectPr w:rsidR="00FC693F" w:rsidRPr="0006063C" w:rsidSect="00034616">
      <w:pgSz w:w="12240" w:h="15840"/>
      <w:pgMar w:top="1800" w:right="1800" w:bottom="18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A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A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1A2A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