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Georgia" w:hAnsi="Georgia"/>
          <w:b/>
          <w:color w:val="1A2A44"/>
          <w:sz w:val="44"/>
        </w:rPr>
        <w:t>SUNLIGHT</w:t>
      </w:r>
    </w:p>
    <w:p>
      <w:pPr>
        <w:spacing w:after="480"/>
        <w:jc w:val="center"/>
      </w:pPr>
      <w:r>
        <w:rPr>
          <w:rFonts w:ascii="Georgia" w:hAnsi="Georgia"/>
          <w:color w:val="1A2A44"/>
          <w:sz w:val="26"/>
        </w:rPr>
        <w:t>Institutional Review:</w:t>
        <w:br/>
        <w:t>Anticipated Technical and Methodological Questions</w:t>
      </w:r>
    </w:p>
    <w:p>
      <w:pPr>
        <w:spacing w:before="40" w:after="120"/>
        <w:pBdr>
          <w:bottom w:val="single" w:sz="4" w:space="1" w:color="1A2A44"/>
        </w:pBdr>
      </w:pPr>
    </w:p>
    <w:p>
      <w:pPr>
        <w:spacing w:after="360"/>
      </w:pPr>
      <w:r>
        <w:t>This document pre-drafts responses to the set of predictable technical and methodological questions that institutional reviewers are likely to raise when evaluating SUNLIGHT for deployment within a multilateral procurement oversight context. Each response is written in institutional register and reflects the current state of the SUNLIGHT v4.0 Core architecture as of April 2026.</w:t>
      </w:r>
    </w:p>
    <w:p>
      <w:pPr>
        <w:spacing w:before="40" w:after="120"/>
        <w:pBdr>
          <w:bottom w:val="single" w:sz="4" w:space="1" w:color="1A2A44"/>
        </w:pBdr>
      </w:pPr>
    </w:p>
    <w:p>
      <w:pPr>
        <w:spacing w:before="360" w:after="120"/>
      </w:pPr>
      <w:r>
        <w:rPr>
          <w:rFonts w:ascii="Georgia" w:hAnsi="Georgia"/>
          <w:b/>
          <w:color w:val="1A2A44"/>
          <w:sz w:val="22"/>
        </w:rPr>
        <w:t>1. How does SUNLIGHT integrate with UNDP's Quantum ERP system?</w:t>
      </w:r>
    </w:p>
    <w:p>
      <w:pPr>
        <w:spacing w:after="120"/>
      </w:pPr>
      <w:r>
        <w:t>SUNLIGHT implements an adapter registry pattern for data ingestion. The architecture defines a formal InputAdapter interface that transforms institution-specific data formats into the internal ContractDossier representation consumed by the analytical engines. Adapters are registered in a central registry and selected at runtime based on the data source identifier.</w:t>
      </w:r>
    </w:p>
    <w:p>
      <w:pPr>
        <w:spacing w:after="120"/>
      </w:pPr>
      <w:r>
        <w:t>A Quantum adapter is currently registered in the adapter registry with a status of pending UNDP schema specification. The adapter stub exists in the codebase; its implementation requires the Quantum procurement data schema — specifically, the field mappings for contract identifiers, procurement method, award values, supplier identification, and award dates. Once UNDP shares the Quantum schema documentation, completing the adapter is a bounded data-mapping task, not an engine modification or core architecture change. No analytical code is modified; only the input translation layer is extended.</w:t>
      </w:r>
    </w:p>
    <w:p>
      <w:pPr>
        <w:spacing w:before="360" w:after="120"/>
      </w:pPr>
      <w:r>
        <w:rPr>
          <w:rFonts w:ascii="Georgia" w:hAnsi="Georgia"/>
          <w:b/>
          <w:color w:val="1A2A44"/>
          <w:sz w:val="22"/>
        </w:rPr>
        <w:t>2. What is the false-positive profile on real UNDP procurement data?</w:t>
      </w:r>
    </w:p>
    <w:p>
      <w:pPr>
        <w:spacing w:after="120"/>
      </w:pPr>
      <w:r>
        <w:t>The current precision calibration is performed against US federal procurement data, where the engine achieves 33.3% precision at 100% recall on the nine DOJ-prosecuted reference cases, with a false-positive rate of 9.0% on a 200-contract clean sample. These numbers represent the institutional credibility floor: the minimum acceptable performance on data with known prosecution outcomes.</w:t>
      </w:r>
    </w:p>
    <w:p>
      <w:pPr>
        <w:spacing w:after="120"/>
      </w:pPr>
      <w:r>
        <w:t>The MJPIS thresholds that gate the Evidence Verification Gate are derived from the intersection of four mature legal systems (US DOJ, UK SFO, French PNF, World Bank INT). Because intersection thresholds are strictly tighter than any single jurisdiction's local calibration, the false-positive rate on any given data slice is bounded from above by the US federal FPR. However, the exact false-positive profile on UNDP procurement data can only be determined empirically.</w:t>
      </w:r>
    </w:p>
    <w:p>
      <w:pPr>
        <w:spacing w:after="120"/>
      </w:pPr>
      <w:r>
        <w:t>We propose a 500-contract pilot slice as the calibration validation step. UNDP would provide a representative sample of procurement records across country offices and procurement categories; SUNLIGHT would process the slice and report the observed flag rate, the dimensional distribution of findings, and the per-dimension threshold sensitivity. This pilot produces the empirical numbers required for institutional confidence without requiring full deployment.</w:t>
      </w:r>
    </w:p>
    <w:p>
      <w:pPr>
        <w:spacing w:before="360" w:after="120"/>
      </w:pPr>
      <w:r>
        <w:rPr>
          <w:rFonts w:ascii="Georgia" w:hAnsi="Georgia"/>
          <w:b/>
          <w:color w:val="1A2A44"/>
          <w:sz w:val="22"/>
        </w:rPr>
        <w:t>3. What is the pricing model at UNDP scale?</w:t>
      </w:r>
    </w:p>
    <w:p>
      <w:pPr>
        <w:spacing w:after="120"/>
      </w:pPr>
      <w:r>
        <w:t>SUNLIGHT operates on a per-verification passport model, architecturally analogous to the per-transaction fee structure of international payment networks. Each contract processed through the analytical pipeline constitutes one verification unit. The unit cost covers CRI statistical analysis, TCA structural evaluation, and EVG gate determination with full traceability output.</w:t>
      </w:r>
    </w:p>
    <w:p>
      <w:pPr>
        <w:spacing w:after="120"/>
      </w:pPr>
      <w:r>
        <w:t>A single multilateral institution at SUNLIGHT-relevant procurement scale — processing tens of thousands of contracts annually — produces seven-figure annual recurring revenue from contract throughput at institutional per-unit pricing. Volume tiers and institutional licensing terms are negotiable within this framework.</w:t>
      </w:r>
    </w:p>
    <w:p>
      <w:pPr>
        <w:spacing w:after="120"/>
      </w:pPr>
      <w:r>
        <w:t>Explicitly, SUNLIGHT does not operate on a recovery-share model. Recovery-share pricing creates incentive distortions that institutional governance bodies correctly identify and reject: a system financially incentivized to flag more contracts cannot serve as a neutral analytical layer. The per-verification model preserves analytical neutrality by decoupling revenue from findings.</w:t>
      </w:r>
    </w:p>
    <w:p>
      <w:pPr>
        <w:spacing w:before="360" w:after="120"/>
      </w:pPr>
      <w:r>
        <w:rPr>
          <w:rFonts w:ascii="Georgia" w:hAnsi="Georgia"/>
          <w:b/>
          <w:color w:val="1A2A44"/>
          <w:sz w:val="22"/>
        </w:rPr>
        <w:t>4. Who owns the IP and what is the corporate structure?</w:t>
      </w:r>
    </w:p>
    <w:p>
      <w:pPr>
        <w:spacing w:after="120"/>
      </w:pPr>
      <w:r>
        <w:t>SUNLIGHT is owned equally by its two founders: Rimwaya Ouedraogo, the primary developer and architect of the CRI engine and EVG gate, and Hugo Villalba, the strategic co-owner and architect of the TCA engine. The codebase resides in a private GitHub repository under founder control. All intellectual property — source code, analytical methodology, the MJPIS standard, and the jurisdiction profile architecture — is wholly owned by the two founders. No outside investor holds equity, board seats, or intellectual property rights in any SUNLIGHT asset.</w:t>
      </w:r>
    </w:p>
    <w:p>
      <w:pPr>
        <w:spacing w:before="360" w:after="120"/>
      </w:pPr>
      <w:r>
        <w:rPr>
          <w:rFonts w:ascii="Georgia" w:hAnsi="Georgia"/>
          <w:b/>
          <w:color w:val="1A2A44"/>
          <w:sz w:val="22"/>
        </w:rPr>
        <w:t>5. What happens if a country office disputes a RED finding?</w:t>
      </w:r>
    </w:p>
    <w:p>
      <w:pPr>
        <w:spacing w:after="120"/>
      </w:pPr>
      <w:r>
        <w:t>Every RED verdict produced by the Evidence Verification Gate ships with complete traceability: the specific rule identifiers that fired (e.g., PROC-001, FIN-001, TIME-001), the legal citations rendered from the applicable jurisdiction profile (drawn from UNCAC, OECD, FAR, and other frameworks as appropriate), the evidence dimension scores with their applicable thresholds, and the case precedents from the MJPIS corpus that anchor the threshold derivation.</w:t>
      </w:r>
    </w:p>
    <w:p>
      <w:pPr>
        <w:spacing w:after="120"/>
      </w:pPr>
      <w:r>
        <w:t>A country office dispute is adjudicated against this traceability record. The institutional investigator can examine each rule that fired, verify the threshold that was exceeded, and evaluate the legal citations that apply. SUNLIGHT does not make allegations and does not determine intent. It surfaces structured risk indicators with audit-trail provenance. The institutional investigator retains full authority over case disposition, including the determination that a RED finding does not warrant further action.</w:t>
      </w:r>
    </w:p>
    <w:p>
      <w:pPr>
        <w:spacing w:before="360" w:after="120"/>
      </w:pPr>
      <w:r>
        <w:rPr>
          <w:rFonts w:ascii="Georgia" w:hAnsi="Georgia"/>
          <w:b/>
          <w:color w:val="1A2A44"/>
          <w:sz w:val="22"/>
        </w:rPr>
        <w:t>6. Can SUNLIGHT run inside the UNDP Compass environment without data leaving UNDP infrastructure?</w:t>
      </w:r>
    </w:p>
    <w:p>
      <w:pPr>
        <w:spacing w:after="120"/>
      </w:pPr>
      <w:r>
        <w:t>Yes. The SUNLIGHT API service is stateless and deterministic. It is deployed as a containerized application (Docker image, non-root user, health-check configured) that processes contract data in-memory and returns analytical results without persisting contract data to disk or transmitting it to external infrastructure. The container can be deployed inside UNDP's network perimeter — whether within the Compass environment, a dedicated UNDP-managed cluster, or behind an authenticated API gateway.</w:t>
      </w:r>
    </w:p>
    <w:p>
      <w:pPr>
        <w:spacing w:after="120"/>
      </w:pPr>
      <w:r>
        <w:t>No contract data ever transits to infrastructure outside UNDP's control. The architecture documentation explicitly requires private-network or authenticated-gateway deployment as a deployment precondition, not as an optional configuration. Authentication and authorization at the deployment boundary are institutional configuration decisions managed by UNDP's infrastructure team, not SUNLIGHT code changes.</w:t>
      </w:r>
    </w:p>
    <w:p>
      <w:pPr>
        <w:spacing w:before="360" w:after="120"/>
      </w:pPr>
      <w:r>
        <w:rPr>
          <w:rFonts w:ascii="Georgia" w:hAnsi="Georgia"/>
          <w:b/>
          <w:color w:val="1A2A44"/>
          <w:sz w:val="22"/>
        </w:rPr>
        <w:t>7. How is the MJPIS standard maintained and who decides when it updates?</w:t>
      </w:r>
    </w:p>
    <w:p>
      <w:pPr>
        <w:spacing w:after="120"/>
      </w:pPr>
      <w:r>
        <w:t>The MJPIS corpus is stored as versioned JSON (prosecuted_cases.json) with each case recording the jurisdiction, fraud type, documented markup, settlement amount, and legal citations. Parameter derivation runs deterministically at module-reload time, producing the intersection thresholds from the current corpus contents. Every parameter update is auditable through the git commit history on the corpus file, with the DOJ regression suite verifying that no parameter change degrades recall on the reference cases.</w:t>
      </w:r>
    </w:p>
    <w:p>
      <w:pPr>
        <w:spacing w:after="120"/>
      </w:pPr>
      <w:r>
        <w:t>The question of who approves corpus additions and parameter revisions is an institutional governance decision appropriate for discussion with UNDP if MJPIS is adopted as a shared standard. Currently, the founders maintain the corpus with a published derivation methodology. A natural governance evolution would establish a review board — potentially including UNDP, academic, and legal representatives — to approve corpus additions from new jurisdictions and validate the intersection derivation methodology.</w:t>
      </w:r>
    </w:p>
    <w:p>
      <w:pPr>
        <w:spacing w:before="360" w:after="120"/>
      </w:pPr>
      <w:r>
        <w:rPr>
          <w:rFonts w:ascii="Georgia" w:hAnsi="Georgia"/>
          <w:b/>
          <w:color w:val="1A2A44"/>
          <w:sz w:val="22"/>
        </w:rPr>
        <w:t>8. What is the relationship between SUNLIGHT and GTI's Compass methodology?</w:t>
      </w:r>
    </w:p>
    <w:p>
      <w:pPr>
        <w:spacing w:after="120"/>
      </w:pPr>
      <w:r>
        <w:t>Complementary, not competitive. The Government Transparency Institute's CRI methodology is the wide-angle indicator dashboard that institutional procurement oversight teams use to identify contracts warranting closer examination. SUNLIGHT is the deep structural analysis layer an investigator drops into when an indicator fires. The two systems operate at different analytical depths and serve different institutional moments in the oversight workflow.</w:t>
      </w:r>
    </w:p>
    <w:p>
      <w:pPr>
        <w:spacing w:after="120"/>
      </w:pPr>
      <w:r>
        <w:t>SUNLIGHT's CRI engine implements the same Fazekas-style statistical methodology that GTI pioneered — peer-group comparison, bootstrap confidence intervals, percentile-based scoring. The architectural differentiation is the TCA topological engine (structural contract analysis through directed graph evaluation) and the EVG multi-dimensional gate (requiring convergent evidence across independent analytical dimensions for a RED verdict). These layers do not replace the statistical method; they add structural depth that statistical indicators alone cannot provide.</w:t>
      </w:r>
    </w:p>
    <w:p>
      <w:pPr>
        <w:spacing w:before="360" w:after="120"/>
      </w:pPr>
      <w:r>
        <w:rPr>
          <w:rFonts w:ascii="Georgia" w:hAnsi="Georgia"/>
          <w:b/>
          <w:color w:val="1A2A44"/>
          <w:sz w:val="22"/>
        </w:rPr>
        <w:t>9. What is the academic pedigree of the TCA engine?</w:t>
      </w:r>
    </w:p>
    <w:p>
      <w:pPr>
        <w:spacing w:after="120"/>
      </w:pPr>
      <w:r>
        <w:t>The Topological Contract Analysis engine operationalizes the i* (i-star) Strategic Dependency Framework for procurement integrity analysis. The i* formalism, which models intentional actor dependencies through directed graphs of goals, tasks, resources, and softgoals, provides the theoretical foundation for TCA's approach to representing procurement relationships as topological structures with typed edges (EXPRESSES, BOUNDS, SEEKS, REMOVES, VERIFIES).</w:t>
      </w:r>
    </w:p>
    <w:p>
      <w:pPr>
        <w:spacing w:after="120"/>
      </w:pPr>
      <w:r>
        <w:t>Dr. Christelle Scharff, Associate Dean of Pace University's Seidenberg School of Computer Science and Information Systems and a two-time Fulbright Scholar, has published extensively on the i* framework and its applications. She is familiar with this work directly and has provided the academic grounding that connects TCA's operational methodology to the established requirements engineering literature.</w:t>
      </w:r>
    </w:p>
    <w:p>
      <w:pPr>
        <w:spacing w:before="360" w:after="120"/>
      </w:pPr>
      <w:r>
        <w:rPr>
          <w:rFonts w:ascii="Georgia" w:hAnsi="Georgia"/>
          <w:b/>
          <w:color w:val="1A2A44"/>
          <w:sz w:val="22"/>
        </w:rPr>
        <w:t>10. What engineering rigor has the codebase been subjected to?</w:t>
      </w:r>
    </w:p>
    <w:p>
      <w:pPr>
        <w:spacing w:after="120"/>
      </w:pPr>
      <w:r>
        <w:t>The SUNLIGHT codebase maintains 682 automated tests covering statistical correctness (CRI bootstrap confidence intervals, Bayesian posterior calculations, peer-group selection), structural rule evaluation (all 16 TCA rules across four jurisdiction profiles), EVG gate logic (three-verdict tier evaluation, boundary conditions, null-input handling, integration with real TCA output), API endpoint behavior, and security hardening.</w:t>
      </w:r>
    </w:p>
    <w:p>
      <w:pPr>
        <w:spacing w:after="120"/>
      </w:pPr>
      <w:r>
        <w:t>The 100% DOJ recall invariant is preserved byte-identically across the jurisdiction profile architecture rollout, the MJPIS derivation arc, the EVG wiring, and the security hardening: Precision 33.3%, Recall 100.0%, FPR 9.0%, PR-AUC 0.746, Flags/1K 129.2. A security audit covering 8 of 8 checks passed clean, including SQL identifier allowlist validation preventing injection through dynamic query construction. The integration-readiness arc completed 9 of 9 sub-tasks covering API design, authentication, containerization, and developer documentation.</w:t>
      </w:r>
    </w:p>
    <w:p>
      <w:pPr>
        <w:spacing w:after="120"/>
      </w:pPr>
      <w:r>
        <w:t>The EVG key-mismatch incident (commit 706df82) is disclosed transparently: a dictionary key inconsistency between the TCA analyzer output and the EVG reader was identified, fixed, and closed by an integration test with counterfactual verification documenting that the test would have caught the original bug. The incident and its resolution are described in the technical note accompanying this package.</w:t>
      </w:r>
    </w:p>
    <w:p>
      <w:pPr>
        <w:spacing w:before="360" w:after="120"/>
      </w:pPr>
      <w:r>
        <w:rPr>
          <w:rFonts w:ascii="Georgia" w:hAnsi="Georgia"/>
          <w:b/>
          <w:color w:val="1A2A44"/>
          <w:sz w:val="22"/>
        </w:rPr>
        <w:t>11. How do you calibrate for jurisdictions without mature prosecution corpora?</w:t>
      </w:r>
    </w:p>
    <w:p>
      <w:pPr>
        <w:spacing w:after="120"/>
      </w:pPr>
      <w:r>
        <w:t>Through the MJPIS living standard. The Minimum Jurisdictional Prosecutorial Intersection Standard derives analytical thresholds from the intersection of four mature legal systems — US DOJ, UK SFO, French PNF, and World Bank INT — producing parameter values that would survive evidentiary scrutiny in all four jurisdictions simultaneously. This intersection is a strictly tighter bar than any single jurisdiction's local calibration.</w:t>
      </w:r>
    </w:p>
    <w:p>
      <w:pPr>
        <w:spacing w:after="120"/>
      </w:pPr>
      <w:r>
        <w:t>For the approximately 150 UNDP-operational countries that lack deep local prosecution corpora, MJPIS serves as the primary calibration layer. The architectural design choice is deliberate: in the absence of local prosecutorial data to calibrate against, the system defaults to thresholds that are over-defensible rather than under-defensible. A RED verdict under MJPIS thresholds means the contract would warrant scrutiny in Washington, London, Paris, and at the World Bank simultaneously. As local prosecution corpora mature in additional jurisdictions, their cases can be added to the MJPIS corpus, and the intersection recalculated — the derivation is deterministic and auditable.</w:t>
      </w:r>
    </w:p>
    <w:p>
      <w:pPr>
        <w:spacing w:before="360" w:after="120"/>
      </w:pPr>
      <w:r>
        <w:rPr>
          <w:rFonts w:ascii="Georgia" w:hAnsi="Georgia"/>
          <w:b/>
          <w:color w:val="1A2A44"/>
          <w:sz w:val="22"/>
        </w:rPr>
        <w:t>12. What is the time-to-deployment from a go-decision inside UNDP?</w:t>
      </w:r>
    </w:p>
    <w:p>
      <w:pPr>
        <w:spacing w:after="120"/>
      </w:pPr>
      <w:r>
        <w:t>Deployment timeline is contingent on UNDP data and integration specifications. From a UNDP go-decision with Quantum schema access and a pilot procurement data slice, the registered stub adapter becomes a functional adapter in bounded engineering time. A pilot run against a representative UNDP contract volume can produce initial institutional reporting within weeks rather than months.</w:t>
      </w:r>
    </w:p>
    <w:p>
      <w:pPr>
        <w:spacing w:after="120"/>
      </w:pPr>
      <w:r>
        <w:t>The critical-path dependencies are on the UNDP side: Quantum schema documentation, a representative pilot data slice, infrastructure access for container deployment, and institutional authorization for the pilot scope. On the SUNLIGHT side, the analytical engines, the EVG gate, the jurisdiction profile architecture, and the API layer are production-ready and regression-tested. We do not commit to a specific calendar timeline in the absence of UNDP-side specifications, but the engineering work between schema access and first pilot results is bounded and well-characterized.</w:t>
      </w:r>
    </w:p>
    <w:sectPr w:rsidR="00FC693F" w:rsidRPr="0006063C" w:rsidSect="00034616">
      <w:pgSz w:w="12240" w:h="15840"/>
      <w:pgMar w:top="1800" w:right="1800" w:bottom="18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A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A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1A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