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Georgia" w:hAnsi="Georgia"/>
          <w:b/>
          <w:color w:val="1A2A44"/>
          <w:sz w:val="44"/>
        </w:rPr>
        <w:t>SUNLIGHT</w:t>
      </w:r>
    </w:p>
    <w:p>
      <w:pPr>
        <w:spacing w:after="480"/>
        <w:jc w:val="center"/>
      </w:pPr>
      <w:r>
        <w:rPr>
          <w:rFonts w:ascii="Georgia" w:hAnsi="Georgia"/>
          <w:color w:val="1A2A44"/>
          <w:sz w:val="26"/>
        </w:rPr>
        <w:t>Dossier institutionnel pour l'introduction a UNDP :</w:t>
        <w:br/>
        <w:t>ordre de transmission et notes d'usage</w:t>
      </w:r>
    </w:p>
    <w:p>
      <w:pPr>
        <w:spacing w:before="40" w:after="120"/>
        <w:pBdr>
          <w:bottom w:val="single" w:sz="4" w:space="1" w:color="1A2A44"/>
        </w:pBdr>
      </w:pPr>
    </w:p>
    <w:p>
      <w:r>
        <w:t>Chere Professeure Scharff,</w:t>
        <w:br/>
        <w:br/>
        <w:t>Nous vous remercions sincerement de porter cette introduction aupres du Dr. Govinda Timilsina et de son equipe au UNDP. Le present document decrit les trois artefacts qui composent le dossier institutionnel SUNLIGHT, leur fonction respective dans la sequence d'engagement, et l'ordre dans lequel nous recommandons de les transmettre. Chaque document a ete concu pour servir un moment institutionnel precis ; leur transmission sequentielle permet de structurer l'engagement sans surcharger le destinataire initial.</w:t>
      </w:r>
    </w:p>
    <w:p/>
    <w:p>
      <w:r>
        <w:rPr>
          <w:rFonts w:ascii="Georgia" w:hAnsi="Georgia"/>
          <w:b/>
          <w:color w:val="1A2A44"/>
          <w:sz w:val="22"/>
        </w:rPr>
        <w:t>1. SUNLIGHT_Scharff_Note_Suivi_v2_2_FR.pdf</w:t>
      </w:r>
    </w:p>
    <w:p>
      <w:r>
        <w:t>Il s'agit de la note de suivi strategique qui prolonge la conversation initiee le 27 mars. Ce document presente l'architecture SUNLIGHT, son positionnement institutionnel vis-a-vis de l'ecosysteme d'integrite des marches publics du UNDP, et la proposition de collaboration structuree. C'est l'artefact qui ouvre l'engagement du Dr. Timilsina : il doit etre transmis avec l'email d'introduction comme piece jointe unique. Sa fonction est de susciter un interet institutionnel initial et de fournir le cadre strategique dans lequel les artefacts techniques ulterieurs prennent leur sens.</w:t>
      </w:r>
    </w:p>
    <w:p/>
    <w:p>
      <w:r>
        <w:rPr>
          <w:rFonts w:ascii="Georgia" w:hAnsi="Georgia"/>
          <w:b/>
          <w:color w:val="1A2A44"/>
          <w:sz w:val="22"/>
        </w:rPr>
        <w:t>2. SUNLIGHT_Analytical_Dossier_v1.pdf</w:t>
      </w:r>
    </w:p>
    <w:p>
      <w:r>
        <w:t>Il s'agit du dossier analytique demontrant SUNLIGHT en operation : cinq contrats reels analyses a travers les trois moteurs du systeme, avec verdicts, scores dimensionnels, regles structurelles declenchees et citations juridiques rendues par le profil juridictionnel applicable. C'est l'artefact qui convertit un interet institutionnel initial en engagement technique substantiel. Il ne doit etre transmis que si et quand le Dr. Timilsina ou son equipe demande un examen plus approfondi ou une demonstration de la production analytique reelle du systeme.</w:t>
      </w:r>
    </w:p>
    <w:p/>
    <w:p>
      <w:r>
        <w:rPr>
          <w:rFonts w:ascii="Georgia" w:hAnsi="Georgia"/>
          <w:b/>
          <w:color w:val="1A2A44"/>
          <w:sz w:val="22"/>
        </w:rPr>
        <w:t>3. SUNLIGHT_Institutional_FAQ_EN.pdf</w:t>
      </w:r>
    </w:p>
    <w:p>
      <w:r>
        <w:t>Il s'agit du document de reference couvrant les questions techniques et methodologiques previsibles que l'equipe du Dr. Timilsina est susceptible de soulever : integration avec Quantum, profil de faux positifs, modele tarifaire, propriete intellectuelle, deploiement en infrastructure UNDP, maintenance du standard MJPIS, et autres. Ce document peut etre transmis de maniere proactive aux cotes du dossier analytique si l'engagement technique est avance, ou de maniere reactive en reponse a des questions specifiques de la part du UNDP.</w:t>
      </w:r>
    </w:p>
    <w:p/>
    <w:p>
      <w:pPr>
        <w:spacing w:before="40" w:after="120"/>
        <w:pBdr>
          <w:bottom w:val="single" w:sz="4" w:space="1" w:color="1A2A44"/>
        </w:pBdr>
      </w:pPr>
    </w:p>
    <w:p>
      <w:r>
        <w:t>Nous mesurons pleinement le temps et le soin que vous consacrez a cette introduction, et nous vous en sommes profondement reconnaissants. Aucune pression de calendrier n'est placee de notre cote : la sequence de transmission est entierement a votre discretion, au rythme qui vous convient et qui convient a votre relation avec le Dr. Timilsina. Si vous avez besoin de materiel supplementaire, de clarifications, ou d'ajustements a l'un de ces documents avant transmission, nous restons a votre entiere disposition.</w:t>
      </w:r>
    </w:p>
    <w:p>
      <w:pPr>
        <w:spacing w:before="480"/>
      </w:pPr>
      <w:r>
        <w:rPr>
          <w:rFonts w:ascii="Georgia" w:hAnsi="Georgia"/>
        </w:rPr>
        <w:t>Avec nos salutations respectueuses,</w:t>
      </w:r>
    </w:p>
    <w:p>
      <w:r>
        <w:rPr>
          <w:rFonts w:ascii="Georgia" w:hAnsi="Georgia"/>
          <w:i/>
        </w:rPr>
        <w:t>Rimwaya Ouedraogo &amp; Hugo Villalba</w:t>
      </w:r>
    </w:p>
    <w:p>
      <w:r>
        <w:rPr>
          <w:rFonts w:ascii="Georgia" w:hAnsi="Georgia"/>
          <w:color w:val="333333"/>
          <w:sz w:val="20"/>
        </w:rPr>
        <w:t>Fondateurs, SUNLIGHT</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