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56"/>
          <w:szCs w:val="56"/>
          <w:rtl w:val="0"/>
        </w:rPr>
        <w:t xml:space="preserve">SDCR ROBOTICS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30"/>
          <w:szCs w:val="30"/>
          <w:rtl w:val="0"/>
        </w:rPr>
        <w:t xml:space="preserve">Allegati Gestionali del Progetto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Diagramma di Gantt  |  Break-Even Point  |  Matrice Stakeholder  |  Matrice Rischi  | 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ITI G. Galilei — Classe 5B INF — A.S.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22"/>
          <w:szCs w:val="22"/>
          <w:rtl w:val="0"/>
        </w:rPr>
        <w:t xml:space="preserve">Di Camillo Andrea  |  Sorrentino Lorenzo  |  Rinaldi Paolo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bottom w:color="1a3a5c" w:space="2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0"/>
          <w:szCs w:val="30"/>
          <w:rtl w:val="0"/>
        </w:rPr>
        <w:t xml:space="preserve">1. Diagramma di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diagramma di Gantt rappresenta la pianificazione temporale del progetto SDCR Robotics, articolato in 4 mesi di sviluppo (Febbraio – Maggio 2026), suddivisi in settimane operative. Ogni attività è mappata sulle settimane di competenza con indicazione della fase di appartenenza.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4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tblGridChange w:id="0">
          <w:tblGrid>
            <w:gridCol w:w="2400"/>
            <w:gridCol w:w="672"/>
            <w:gridCol w:w="672"/>
            <w:gridCol w:w="672"/>
            <w:gridCol w:w="672"/>
            <w:gridCol w:w="672"/>
            <w:gridCol w:w="672"/>
            <w:gridCol w:w="672"/>
            <w:gridCol w:w="672"/>
            <w:gridCol w:w="672"/>
            <w:gridCol w:w="672"/>
            <w:gridCol w:w="672"/>
            <w:gridCol w:w="6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Attività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FEBS1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FEBS2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FEBS3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FEBS4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MARS1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MARS2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MARS3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MARS4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APRS1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APRS2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MAGS1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MAGS2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FASE 1 – Analisi e Ricerca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Studio architetture VTOL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Selezione componenti HW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Analisi energetica e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b3c"/>
                <w:sz w:val="19"/>
                <w:szCs w:val="19"/>
                <w:rtl w:val="0"/>
              </w:rPr>
              <w:t xml:space="preserve">FASE 2 – Progettazione 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Progettazione struttura VTOL (STEP 1-2)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Sistema propulsione e alimentazione (STEP 3-4)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Elettronica, payload, comunicazioni (STEP 5-7)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Fusoliera e aerodinamica (STEP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b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c00"/>
                <w:sz w:val="19"/>
                <w:szCs w:val="19"/>
                <w:rtl w:val="0"/>
              </w:rPr>
              <w:t xml:space="preserve">FASE 3 – Sviluppo Software GCS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b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b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b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b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b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b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b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b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b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b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b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5b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Connessione MAVLink e telemetria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8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8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Missioni waypoint e modalità VTOL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8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8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Sistema LoRa e fail-safe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8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8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Controllo gimbal e streaming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8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9"/>
                <w:szCs w:val="19"/>
                <w:rtl w:val="0"/>
              </w:rPr>
              <w:t xml:space="preserve">FASE 4 – Test e Simulazione SITL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Setup ArduPilot SITL (WSL2)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Test sensori (GPS, IMU, batteria)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Test missioni autonome e fail-safe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9"/>
                <w:szCs w:val="19"/>
                <w:rtl w:val="0"/>
              </w:rPr>
              <w:t xml:space="preserve">FASE 5 – Documentazione 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Redazione documenti tecnici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777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777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Report finale GPOI e presentazione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777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777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Render 3D e allegati gestionali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7777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Legenda:</w:t>
      </w:r>
      <w:r w:rsidDel="00000000" w:rsidR="00000000" w:rsidRPr="00000000">
        <w:rPr>
          <w:rtl w:val="0"/>
        </w:rPr>
      </w:r>
    </w:p>
    <w:tbl>
      <w:tblPr>
        <w:tblStyle w:val="Table2"/>
        <w:tblW w:w="6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1400"/>
        <w:gridCol w:w="300"/>
        <w:gridCol w:w="1400"/>
        <w:gridCol w:w="300"/>
        <w:gridCol w:w="1400"/>
        <w:gridCol w:w="300"/>
        <w:gridCol w:w="1526"/>
        <w:tblGridChange w:id="0">
          <w:tblGrid>
            <w:gridCol w:w="300"/>
            <w:gridCol w:w="1400"/>
            <w:gridCol w:w="300"/>
            <w:gridCol w:w="1400"/>
            <w:gridCol w:w="300"/>
            <w:gridCol w:w="1400"/>
            <w:gridCol w:w="300"/>
            <w:gridCol w:w="1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Analisi e Ricerca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6b3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Progettazione 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8c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Sviluppo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Test SITL / Documentazione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pBdr>
          <w:bottom w:color="1a3a5c" w:space="2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0"/>
          <w:szCs w:val="30"/>
          <w:rtl w:val="0"/>
        </w:rPr>
        <w:t xml:space="preserve">2. Break-Even Point (BEP)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Break-Even Point rappresenta il numero minimo di droni che SDCR Robotics deve vendere per coprire tutti i costi fissi e variabili, raggiungendo il pareggio economico. L'analisi è condotta sulla configurazione Standard (12.000 €), che rappresenta il prodotto di punta per il segmento sicurezza e sorveglianza.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Parametri di riferimento: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200"/>
        <w:gridCol w:w="3226"/>
        <w:tblGridChange w:id="0">
          <w:tblGrid>
            <w:gridCol w:w="3600"/>
            <w:gridCol w:w="2200"/>
            <w:gridCol w:w="3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Importo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Prezzo di vendita unitario (P)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12.000 €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Configurazione Standard (RGB + termica + gimbal 3 assi)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Costo variabile unitario (CV)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3.200 €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Costo medio di produzione di un singolo drone (componenti + assemblaggio)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Margine di contribuzione (MC = P - CV)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8.800 €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Contributo di ogni drone alla copertura dei costi fissi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Costi Fissi annui (CF)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132.000 €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Sede Imperia + stipendi 3 soci + R&amp;D + assicurazioni +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BEP = CF / 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15 droni/anno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132.000 / 8.800 = 15 unità necessarie per il pareggio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Dettaglio Costi Fissi Annui: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2000"/>
        <w:gridCol w:w="2026"/>
        <w:tblGridChange w:id="0">
          <w:tblGrid>
            <w:gridCol w:w="5000"/>
            <w:gridCol w:w="2000"/>
            <w:gridCol w:w="2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Voce di costo fisso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Importo annuo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Affitto sede operativa (Imperia)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24.000 €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2.000 €/mese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Stipendi 3 soci fondatori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72.000 €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24.000 €/anno ciascuno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Ricerca e sviluppo (R&amp;D)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18.000 €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Aggiornamenti SW, test, prototipazione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Marketing e comunicazione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10.000 €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Fiere settore difesa, sito web, materiali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Assicurazioni e costi legali (SRL)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Responsabilità civile, brevetti, consulenza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Utenze, software, varie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Cloud, licenze, energia, connettività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TOTALE COSTI FISSI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132.000 €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Interpretazione del BEP: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droni/anno: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equivale a circa 1,25 droni al mese — obiettivo realistico per una startup nel settore difesa/sicurezza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Fatturato minimo: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× 12.000 € = 180.000 €/anno per raggiungere il pareggio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 1 (obiettivo prudente): </w:t>
      </w:r>
      <w:sdt>
        <w:sdtPr>
          <w:id w:val="-5661849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10 droni venduti → perdita di circa 44.000 € (start-up phase, coperta da agevolazioni startup innovativa)</w:t>
          </w:r>
        </w:sdtContent>
      </w:sdt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 2 (obiettivo target): </w:t>
      </w:r>
      <w:sdt>
        <w:sdtPr>
          <w:id w:val="186520908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20 droni → utile netto di circa 44.000 € (+ manutenzioni annuali ~15.000 €)</w:t>
          </w:r>
        </w:sdtContent>
      </w:sdt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 3 (obiettivo crescita): </w:t>
      </w:r>
      <w:sdt>
        <w:sdtPr>
          <w:id w:val="-34450421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35 droni → utile netto di circa 176.000 € con espansione gamma prodotti</w:t>
          </w:r>
        </w:sdtContent>
      </w:sdt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pBdr>
          <w:bottom w:color="1a3a5c" w:space="2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0"/>
          <w:szCs w:val="30"/>
          <w:rtl w:val="0"/>
        </w:rPr>
        <w:t xml:space="preserve">3. Matrice degli Stakeholder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La matrice degli stakeholder analizza tutti i soggetti coinvolti nel progetto SDCR Robotics in base al loro livello di interesse nel progetto e al potere/influenza che esercitano sulle decisioni aziendali. La classificazione guida la strategia di comunicazione e coinvolgimento.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4263"/>
        <w:gridCol w:w="4263"/>
        <w:tblGridChange w:id="0">
          <w:tblGrid>
            <w:gridCol w:w="500"/>
            <w:gridCol w:w="4263"/>
            <w:gridCol w:w="42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5555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INTERESSE BASSO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222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INTERESSE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POTEREALTO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8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20"/>
                <w:szCs w:val="20"/>
                <w:rtl w:val="0"/>
              </w:rPr>
              <w:t xml:space="preserve">TIENI SODDISFATTI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Investitori/Creditori anonimi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Enti regolatori (ENAC, Min. Difesa)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Banche e istituti di credito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Stato italiano (agevolazioni startup)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87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b3c"/>
                <w:sz w:val="20"/>
                <w:szCs w:val="20"/>
                <w:rtl w:val="0"/>
              </w:rPr>
              <w:t xml:space="preserve">GESTISCI ATTIVAMENTE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Soci fondatori (Sorrentino, Rinaldi, Di Camillo)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Clienti militari e forze dell'ordine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Partner industriali (Leonardo, Rheinmetall)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Protezione Civile e enti sicurezza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POTEREBASSO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8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MONITORA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Fornitori di componenti (ESC, motori, GPS)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Comunità locale (sede Imperia)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Media e stampa di settore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91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TIENI INFORMATI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Operatori e utilizzatori finali del drone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Personale smart working esterno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Istituto scolastico ITI G. Galilei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Strategia di coinvolgimento per quadrante: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Gestisci attivamente (verde):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aggiornamenti frequenti, riunioni periodiche, decisioni condivise — sono i soggetti critici per il successo del progetto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Tieni soddisfatti (giallo):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comunicazione regolare sullo stato del progetto, rispetto delle normative, rendicontazione finanziaria trasparente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Tieni informati (blu):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newsletter periodiche, accesso a documentazione pubblica, formazione operatori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 (grigio):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contratti chiari con fornitori, controllo qualità componenti, rapporti occasionali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pBdr>
          <w:bottom w:color="1a3a5c" w:space="2" w:sz="6" w:val="single"/>
        </w:pBdr>
        <w:spacing w:after="200" w:before="400" w:lineRule="auto"/>
        <w:rPr>
          <w:sz w:val="30"/>
          <w:szCs w:val="30"/>
        </w:rPr>
      </w:pPr>
      <w:bookmarkStart w:colFirst="0" w:colLast="0" w:name="_heading=h.k3dmdsvw1cuh" w:id="0"/>
      <w:bookmarkEnd w:id="0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Matrice Rischi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60"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111111"/>
          <w:sz w:val="26"/>
          <w:szCs w:val="26"/>
          <w:rtl w:val="0"/>
        </w:rPr>
        <w:t xml:space="preserve">Legenda:</w:t>
      </w:r>
      <w:r w:rsidDel="00000000" w:rsidR="00000000" w:rsidRPr="00000000">
        <w:rPr>
          <w:rtl w:val="0"/>
        </w:rPr>
      </w:r>
    </w:p>
    <w:sdt>
      <w:sdtPr>
        <w:lock w:val="contentLocked"/>
        <w:id w:val="1799186526"/>
        <w:tag w:val="goog_rdk_3"/>
      </w:sdtPr>
      <w:sdtContent>
        <w:tbl>
          <w:tblPr>
            <w:tblStyle w:val="Table6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513"/>
            <w:gridCol w:w="4513"/>
            <w:tblGridChange w:id="0">
              <w:tblGrid>
                <w:gridCol w:w="4513"/>
                <w:gridCol w:w="451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a3a5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9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Probabilità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a3a5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Impatto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A1">
                <w:pPr>
                  <w:spacing w:after="6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 – Bassa   2 – Media   3 – 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A2">
                <w:pPr>
                  <w:spacing w:after="6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 – Basso   2 – Medio   3 – 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3">
      <w:pPr>
        <w:spacing w:after="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134868911"/>
        <w:tag w:val="goog_rdk_5"/>
      </w:sdtPr>
      <w:sdtContent>
        <w:tbl>
          <w:tblPr>
            <w:tblStyle w:val="Table7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00"/>
            <w:gridCol w:w="1765.2"/>
            <w:gridCol w:w="1765.2"/>
            <w:gridCol w:w="1765.2"/>
            <w:gridCol w:w="1765.2"/>
            <w:gridCol w:w="1765.2"/>
            <w:tblGridChange w:id="0">
              <w:tblGrid>
                <w:gridCol w:w="200"/>
                <w:gridCol w:w="1765.2"/>
                <w:gridCol w:w="1765.2"/>
                <w:gridCol w:w="1765.2"/>
                <w:gridCol w:w="1765.2"/>
                <w:gridCol w:w="1765.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a3a5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a3a5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Rischio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a3a5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Prob.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a3a5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Impatto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a3a5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ScoreP×I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a3a5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Strategia di Mitigazione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68.92578125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8d7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721c24"/>
                    <w:sz w:val="19"/>
                    <w:szCs w:val="19"/>
                    <w:rtl w:val="0"/>
                  </w:rPr>
                  <w:t xml:space="preserve">R1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8d7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B">
                <w:pPr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Guasto al flight controller in volo (Pixhawk)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8d7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C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8d7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D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8d7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11111"/>
                    <w:sz w:val="19"/>
                    <w:szCs w:val="19"/>
                    <w:rtl w:val="0"/>
                  </w:rPr>
                  <w:t xml:space="preserve">6 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8d7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AF">
                <w:pPr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Fail-safe automatico (QRTL/QLAND) configurato sul FC. Telemetria LoRa ridondante. Test estensivi in SITL prima del volo reale.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8d7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B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721c24"/>
                    <w:sz w:val="19"/>
                    <w:szCs w:val="19"/>
                    <w:rtl w:val="0"/>
                  </w:rPr>
                  <w:t xml:space="preserve">R2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8d7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B1">
                <w:pPr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Perdita del link RF di controllo durante la missione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8d7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B2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8d7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B3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8d7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B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11111"/>
                    <w:sz w:val="19"/>
                    <w:szCs w:val="19"/>
                    <w:rtl w:val="0"/>
                  </w:rPr>
                  <w:t xml:space="preserve">6 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8d7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B5">
                <w:pPr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LoRa come canale ridondante per comandi di emergenza. Timeout HEARTBEAT attiva RTL automatico. Antenne direzionali per estendere la portata.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B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8c00"/>
                    <w:sz w:val="19"/>
                    <w:szCs w:val="19"/>
                    <w:rtl w:val="0"/>
                  </w:rPr>
                  <w:t xml:space="preserve">R3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B7">
                <w:pPr>
                  <w:rPr/>
                </w:pPr>
                <w:sdt>
                  <w:sdtPr>
                    <w:id w:val="1435219594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11111"/>
                        <w:sz w:val="19"/>
                        <w:szCs w:val="19"/>
                        <w:rtl w:val="0"/>
                      </w:rPr>
                      <w:t xml:space="preserve">Fallimento della transizione VTOL → crociera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B8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B9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B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11111"/>
                    <w:sz w:val="19"/>
                    <w:szCs w:val="19"/>
                    <w:rtl w:val="0"/>
                  </w:rPr>
                  <w:t xml:space="preserve">6 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BB">
                <w:pPr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Test in SITL di ogni fase di transizione. Parametri ArduPilot Q_TRANSITION_MS calibrati. Modalità QHOVER come fallback in caso di insuccesso.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B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8c00"/>
                    <w:sz w:val="19"/>
                    <w:szCs w:val="19"/>
                    <w:rtl w:val="0"/>
                  </w:rPr>
                  <w:t xml:space="preserve">R4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BD">
                <w:pPr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Batteria LiPo sotto tensione minima in volo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BE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BF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11111"/>
                    <w:sz w:val="19"/>
                    <w:szCs w:val="19"/>
                    <w:rtl w:val="0"/>
                  </w:rPr>
                  <w:t xml:space="preserve">4 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1">
                <w:pPr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Soglie BATT_FS_LOW e BATT_FS_CRT configurate. Monitor in Python controlla tensione ogni 500 ms. Alert LoRa all'operatore a 25% capacità.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8c00"/>
                    <w:sz w:val="19"/>
                    <w:szCs w:val="19"/>
                    <w:rtl w:val="0"/>
                  </w:rPr>
                  <w:t xml:space="preserve">R5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3">
                <w:pPr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Violazione normativa ENAC sui droni militari/sorveglianza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4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5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11111"/>
                    <w:sz w:val="19"/>
                    <w:szCs w:val="19"/>
                    <w:rtl w:val="0"/>
                  </w:rPr>
                  <w:t xml:space="preserve">6 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b4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7">
                <w:pPr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Consulenza legale specializzata. Rispetto regolamento UE 2019/947. Operatività iniziale in zone approvate. Certificazione EASA per uso professionale.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3c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856404"/>
                    <w:sz w:val="19"/>
                    <w:szCs w:val="19"/>
                    <w:rtl w:val="0"/>
                  </w:rPr>
                  <w:t xml:space="preserve">R6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3c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9">
                <w:pPr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Ritardi nella supply chain dei componenti (chip, sensori)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3c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A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3c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B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3c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11111"/>
                    <w:sz w:val="19"/>
                    <w:szCs w:val="19"/>
                    <w:rtl w:val="0"/>
                  </w:rPr>
                  <w:t xml:space="preserve">4 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3c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D">
                <w:pPr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Scorte di sicurezza per componenti critici. Fornitori alternativi pre-qualificati. Priorità a componenti con alta disponibilità di mercato.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3c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856404"/>
                    <w:sz w:val="19"/>
                    <w:szCs w:val="19"/>
                    <w:rtl w:val="0"/>
                  </w:rPr>
                  <w:t xml:space="preserve">R7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3c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CF">
                <w:pPr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Superamento del budget di sviluppo del prototipo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3c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0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3c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1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3c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11111"/>
                    <w:sz w:val="19"/>
                    <w:szCs w:val="19"/>
                    <w:rtl w:val="0"/>
                  </w:rPr>
                  <w:t xml:space="preserve">4 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3c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Budget dettagliato con contingency del 15%. Monitoraggio mensile delle spese. Ricorso ad agevolazioni startup innovativa per ridurre l'esposizione.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4ed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e6b3c"/>
                    <w:sz w:val="19"/>
                    <w:szCs w:val="19"/>
                    <w:rtl w:val="0"/>
                  </w:rPr>
                  <w:t xml:space="preserve">R8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4ed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5">
                <w:pPr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Ingresso di competitor con prodotto equivalente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4ed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6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4ed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7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4ed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11111"/>
                    <w:sz w:val="19"/>
                    <w:szCs w:val="19"/>
                    <w:rtl w:val="0"/>
                  </w:rPr>
                  <w:t xml:space="preserve">4 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4ed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9">
                <w:pPr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Differenziazione tramite software proprietario e integrazione LoRa unica. Brevettazione soluzioni chiave. Accordi esclusivi con clienti istituzionali.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4ed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e6b3c"/>
                    <w:sz w:val="19"/>
                    <w:szCs w:val="19"/>
                    <w:rtl w:val="0"/>
                  </w:rPr>
                  <w:t xml:space="preserve">R9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4ed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B">
                <w:pPr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Interferenze sul canale RF in ambiente operativo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4ed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C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4ed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jc w:val="center"/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4ed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111111"/>
                    <w:sz w:val="19"/>
                    <w:szCs w:val="19"/>
                    <w:rtl w:val="0"/>
                  </w:rPr>
                  <w:t xml:space="preserve">2 🟢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d4edd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DF">
                <w:pPr>
                  <w:rPr/>
                </w:pPr>
                <w:r w:rsidDel="00000000" w:rsidR="00000000" w:rsidRPr="00000000">
                  <w:rPr>
                    <w:color w:val="111111"/>
                    <w:sz w:val="19"/>
                    <w:szCs w:val="19"/>
                    <w:rtl w:val="0"/>
                  </w:rPr>
                  <w:t xml:space="preserve">Canale LoRa come backup. Frequency hopping sul link RF principale. Test in ambienti con alta densità di segnali prima del deployment.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6"/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5f5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E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Legenda Score:  </w:t>
                </w: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🔴 5-9 = Rischio ALTO (azione immediata)   🟠 3-4 = Rischio MEDIO (monitoraggio attivo)   🟢 1-2 = Rischio BASSO (accettabile)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pBdr>
          <w:bottom w:color="1a3a5c" w:space="2" w:sz="6" w:val="single"/>
        </w:pBd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0"/>
          <w:szCs w:val="30"/>
          <w:rtl w:val="0"/>
        </w:rPr>
        <w:t xml:space="preserve">5. Budget Finale del Progetto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budget finale di progetto consolida tutti i costi sostenuti nelle fasi di sviluppo scolastico (Anno 1 – Fase Prototipale) e proietta i costi operativi per i successivi anni aziendali. La struttura segue le fasi operative reali del progetto SDCR Robotics.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5.1 – Budget Fase Scolastica / Prototipale (Anno 0)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1800"/>
        <w:gridCol w:w="1800"/>
        <w:gridCol w:w="926"/>
        <w:tblGridChange w:id="0">
          <w:tblGrid>
            <w:gridCol w:w="4500"/>
            <w:gridCol w:w="1800"/>
            <w:gridCol w:w="1800"/>
            <w:gridCol w:w="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Voce di 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Costo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Peso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Flight controller (Pixhawk 4 / Cube Orange)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 motori brushless (4 lift + 1 cruise)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150 €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 ESC elettronici (BLHeli/DShot, 6S)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Batteria LiPo 6S 12-16 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150 €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Pannelli solari flessibili per ali (100-150 Wp)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80 €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180 €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GPS ad alta precisione + magnetometro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Gimbal stabilizzato 3 assi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250 €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Camera RGB 4K (12-20 MP, zoom 2-5x)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Camera termica IR (320×240 px)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300 €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800 €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Struttura fusoliera + ali (fibra di carbonio)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600 €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Modulo LoRa + antenna (868/915 MHz, AES-128)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80 €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Link RF controllo/video (2.4/5.8 GHz)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250 €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Cablaggio, connettori XT90, minuteria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Software (Python, licenze, tools): open-source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Contingency (15% su costi hardware)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256 €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585 €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TOTALE BUDGET 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1.966 €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4.465 €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5.2 – Proiezione Budget Operativo Annuale (post-startup)</w:t>
      </w:r>
      <w:r w:rsidDel="00000000" w:rsidR="00000000" w:rsidRPr="00000000">
        <w:rPr>
          <w:rtl w:val="0"/>
        </w:rPr>
      </w:r>
    </w:p>
    <w:tbl>
      <w:tblPr>
        <w:tblStyle w:val="Table9"/>
        <w:tblW w:w="902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842"/>
        <w:gridCol w:w="1842"/>
        <w:gridCol w:w="1842"/>
        <w:tblGridChange w:id="0">
          <w:tblGrid>
            <w:gridCol w:w="3500"/>
            <w:gridCol w:w="1842"/>
            <w:gridCol w:w="1842"/>
            <w:gridCol w:w="18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Anno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Anno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Costi fissi totali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132.000 €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138.000 €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145.000 €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Droni prodotti/venduti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Costi variabili produzione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32.000 €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64.000 €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112.000 €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Ricavi da vendita droni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120.000 €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240.000 €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420.000 €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Ricavi da manutenzioni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8.000 €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22.000 €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45.000 €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Totale ricavi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128.000 €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262.000 €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  <w:rtl w:val="0"/>
              </w:rPr>
              <w:t xml:space="preserve">465.000 €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Utile / Perdita netta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1c24"/>
                <w:sz w:val="19"/>
                <w:szCs w:val="19"/>
                <w:rtl w:val="0"/>
              </w:rPr>
              <w:t xml:space="preserve">- 36.000 €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b3c"/>
                <w:sz w:val="19"/>
                <w:szCs w:val="19"/>
                <w:rtl w:val="0"/>
              </w:rPr>
              <w:t xml:space="preserve">+ 60.000 €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b3c"/>
                <w:sz w:val="19"/>
                <w:szCs w:val="19"/>
                <w:rtl w:val="0"/>
              </w:rPr>
              <w:t xml:space="preserve">+ 208.000 €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Note al budget: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perdita coperta dalle agevolazioni startup innovativa e dall'investimento iniziale dei soci (SRL ordinaria, capitale 10.000 €)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raggiungimento del BEP e primo utile positivo grazie alla crescita del portafoglio clienti istituzionali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forte crescita grazie a contratti pluriennali di manutenzione e all'allargamento della gamma prodotti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costo di sviluppo pari a zero in termini di licenze (stack open-source: Python, ArduPilot, QGroundControl) — asset tecnico proprietario SDCR non replicabile</w:t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D">
    <w:pPr>
      <w:pBdr>
        <w:bottom w:color="1a3a5c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SDCR Robotics — Allegati Gestionali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fVp3AyZqXqjQ7Qi24Q4uyT4D2w==">CgMxLjAaJAoBMBIfCh0IB0IZCgVBcmlhbBIQQXJpYWwgVW5pY29kZSBNUxokCgExEh8KHQgHQhkKBUFyaWFsEhBBcmlhbCBVbmljb2RlIE1TGiQKATISHwodCAdCGQoFQXJpYWwSEEFyaWFsIFVuaWNvZGUgTVMaHwoBMxIaChgICVIUChJ0YWJsZS5qdGxyYXA0bDVkNjMaHQoBNBIYChYIB0ISEhBBcmlhbCBVbmljb2RlIE1TGh8KATUSGgoYCAlSFAoSdGFibGUuYWtyNnlrbmdtNjJlMg5oLmszZG1kc3Z3MWN1aDgAciExNTFaaEdLYXZkb2FqSnk2MDlpUHFxcGp0X1dXZ0xwe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