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B"/>
          <w:sz w:val="32"/>
        </w:rPr>
        <w:t>ANALISIS KETIDAKSESUAIAN PASAL-PASAL</w:t>
        <w:br/>
        <w:t>RUU PELINDUNGAN KETENAGAKERJAAN</w:t>
        <w:br/>
        <w:t>DENGAN UU NOMOR 18 TAHUN 2017</w:t>
      </w:r>
    </w:p>
    <w:p>
      <w:pPr>
        <w:jc w:val="center"/>
      </w:pPr>
      <w:r>
        <w:rPr>
          <w:i/>
          <w:sz w:val="24"/>
        </w:rPr>
        <w:br/>
        <w:t>TENTANG PELINDUNGAN PEKERJA MIGRAN INDONESIA</w:t>
      </w:r>
    </w:p>
    <w:p/>
    <w:p>
      <w:pPr>
        <w:jc w:val="center"/>
      </w:pPr>
      <w:r>
        <w:rPr>
          <w:sz w:val="20"/>
        </w:rPr>
        <w:t>Riset Mendalam untuk PAK RUU Pelindungan Ketenagakerjaan</w:t>
        <w:br/>
        <w:t>Koordinasi Kemenakertrans &amp; Kementerian PPMI</w:t>
        <w:br/>
        <w:br/>
        <w:t>11 September 2026</w:t>
      </w:r>
    </w:p>
    <w:p>
      <w:r>
        <w:br w:type="page"/>
      </w:r>
    </w:p>
    <w:p>
      <w:pPr>
        <w:pStyle w:val="Heading1"/>
      </w:pPr>
      <w:r>
        <w:rPr>
          <w:color w:val="00008B"/>
        </w:rPr>
        <w:t>DAFTAR ISI</w:t>
      </w:r>
    </w:p>
    <w:p>
      <w:pPr>
        <w:pStyle w:val="ListBullet"/>
      </w:pPr>
      <w:r>
        <w:t>I. Ringkasan Eksekutif</w:t>
      </w:r>
    </w:p>
    <w:p>
      <w:pPr>
        <w:pStyle w:val="ListBullet"/>
      </w:pPr>
      <w:r>
        <w:t>II. Matriks Konflik: Overview (22 Items)</w:t>
      </w:r>
    </w:p>
    <w:p>
      <w:pPr>
        <w:pStyle w:val="ListBullet"/>
      </w:pPr>
      <w:r>
        <w:t>III. Analisis Pasal-per-Pasal Mendalam</w:t>
      </w:r>
    </w:p>
    <w:p>
      <w:pPr>
        <w:pStyle w:val="ListBullet"/>
      </w:pPr>
      <w:r>
        <w:t>IV. Rekomendasi Harmonisasi</w:t>
      </w:r>
    </w:p>
    <w:p>
      <w:pPr>
        <w:pStyle w:val="ListBullet"/>
      </w:pPr>
      <w:r>
        <w:t>V. Implikasi untuk Kemenakertrans &amp; KPPMI</w:t>
      </w:r>
    </w:p>
    <w:p>
      <w:pPr>
        <w:pStyle w:val="ListBullet"/>
      </w:pPr>
      <w:r>
        <w:t>VI. Roadmap Implementasi</w:t>
      </w:r>
    </w:p>
    <w:p>
      <w:r>
        <w:br w:type="page"/>
      </w:r>
    </w:p>
    <w:p>
      <w:pPr>
        <w:pStyle w:val="Heading1"/>
      </w:pPr>
      <w:r>
        <w:rPr>
          <w:color w:val="00008B"/>
        </w:rPr>
        <w:t>I. RINGKASAN EKSEKUTIF</w:t>
      </w:r>
    </w:p>
    <w:p>
      <w:r>
        <w:t>Riset ini mengidentifikasi 22 area ketidaksesuaian pasal-per-pasal antara RUU Pelindungan Ketenagakerjaan (Draft 2026) dengan UU Nomor 18 Tahun 2017 tentang Pelindungan Pekerja Migran Indonesia. Ketidaksesuaian ini mencakup:</w:t>
        <w:br/>
        <w:t>• 5 Critical Conflict (harus diselesaikan sebelum RUU disahkan)</w:t>
        <w:br/>
        <w:t>• 12 Moderate Mismatch (perlu clarification dalam implementing regulation)</w:t>
        <w:br/>
        <w:t>• 5 Technical Gap (dapat diselesaikan melalui Permen)</w:t>
      </w:r>
    </w:p>
    <w:p/>
    <w:p>
      <w:pPr>
        <w:pStyle w:val="Heading3"/>
      </w:pPr>
      <w:r>
        <w:t>SUMMARY TABLE SEVERITY CLASSIFICATION:</w:t>
      </w:r>
    </w:p>
    <w:tbl>
      <w:tblPr>
        <w:tblStyle w:val="LightGrid-Accent1"/>
        <w:tblW w:type="auto" w:w="0"/>
        <w:tblLook w:firstColumn="1" w:firstRow="1" w:lastColumn="0" w:lastRow="0" w:noHBand="0" w:noVBand="1" w:val="04A0"/>
      </w:tblPr>
      <w:tblGrid>
        <w:gridCol w:w="3360"/>
        <w:gridCol w:w="3360"/>
        <w:gridCol w:w="3360"/>
      </w:tblGrid>
      <w:tr>
        <w:tc>
          <w:tcPr>
            <w:tcW w:type="dxa" w:w="3360"/>
            <w:shd w:fill="4472C4"/>
          </w:tcPr>
          <w:p>
            <w:r>
              <w:rPr>
                <w:b/>
                <w:color w:val="FFFFFF"/>
              </w:rPr>
              <w:t>Kategori</w:t>
            </w:r>
          </w:p>
        </w:tc>
        <w:tc>
          <w:tcPr>
            <w:tcW w:type="dxa" w:w="3360"/>
            <w:shd w:fill="4472C4"/>
          </w:tcPr>
          <w:p>
            <w:r>
              <w:rPr>
                <w:b/>
                <w:color w:val="FFFFFF"/>
              </w:rPr>
              <w:t>Jumlah</w:t>
            </w:r>
          </w:p>
        </w:tc>
        <w:tc>
          <w:tcPr>
            <w:tcW w:type="dxa" w:w="3360"/>
            <w:shd w:fill="4472C4"/>
          </w:tcPr>
          <w:p>
            <w:r>
              <w:rPr>
                <w:b/>
                <w:color w:val="FFFFFF"/>
              </w:rPr>
              <w:t>Severity</w:t>
            </w:r>
          </w:p>
        </w:tc>
      </w:tr>
      <w:tr>
        <w:tc>
          <w:tcPr>
            <w:tcW w:type="dxa" w:w="3360"/>
          </w:tcPr>
          <w:p>
            <w:r>
              <w:t>Critical Conflict (Harus diselesaikan PAK)</w:t>
            </w:r>
          </w:p>
        </w:tc>
        <w:tc>
          <w:tcPr>
            <w:tcW w:type="dxa" w:w="3360"/>
          </w:tcPr>
          <w:p>
            <w:r>
              <w:t>5</w:t>
            </w:r>
          </w:p>
        </w:tc>
        <w:tc>
          <w:tcPr>
            <w:tcW w:type="dxa" w:w="3360"/>
          </w:tcPr>
          <w:p>
            <w:r>
              <w:t>🔴 RED</w:t>
            </w:r>
          </w:p>
        </w:tc>
      </w:tr>
      <w:tr>
        <w:tc>
          <w:tcPr>
            <w:tcW w:type="dxa" w:w="3360"/>
          </w:tcPr>
          <w:p>
            <w:r>
              <w:t>Moderate Mismatch (Perlu Permen/Perpres)</w:t>
            </w:r>
          </w:p>
        </w:tc>
        <w:tc>
          <w:tcPr>
            <w:tcW w:type="dxa" w:w="3360"/>
          </w:tcPr>
          <w:p>
            <w:r>
              <w:t>12</w:t>
            </w:r>
          </w:p>
        </w:tc>
        <w:tc>
          <w:tcPr>
            <w:tcW w:type="dxa" w:w="3360"/>
          </w:tcPr>
          <w:p>
            <w:r>
              <w:t>🟡 YELLOW</w:t>
            </w:r>
          </w:p>
        </w:tc>
      </w:tr>
      <w:tr>
        <w:tc>
          <w:tcPr>
            <w:tcW w:type="dxa" w:w="3360"/>
          </w:tcPr>
          <w:p>
            <w:r>
              <w:t>Technical Gap (Implementasi teknis)</w:t>
            </w:r>
          </w:p>
        </w:tc>
        <w:tc>
          <w:tcPr>
            <w:tcW w:type="dxa" w:w="3360"/>
          </w:tcPr>
          <w:p>
            <w:r>
              <w:t>5</w:t>
            </w:r>
          </w:p>
        </w:tc>
        <w:tc>
          <w:tcPr>
            <w:tcW w:type="dxa" w:w="3360"/>
          </w:tcPr>
          <w:p>
            <w:r>
              <w:t>🟢 GREEN</w:t>
            </w:r>
          </w:p>
        </w:tc>
      </w:tr>
    </w:tbl>
    <w:p>
      <w:r>
        <w:br w:type="page"/>
      </w:r>
    </w:p>
    <w:p>
      <w:pPr>
        <w:pStyle w:val="Heading1"/>
      </w:pPr>
      <w:r>
        <w:rPr>
          <w:color w:val="00008B"/>
        </w:rPr>
        <w:t>II. MATRIKS KONFLIK: OVERVIEW (22 ITEMS)</w:t>
      </w:r>
    </w:p>
    <w:p>
      <w:r>
        <w:t>Tabel berikut menunjukkan semua area ketidaksesuaian antara RUU dan UU 18/2017, dengan klasifikasi severity, pasal yang terlibat, dan jenis ketidaksesuaian.</w:t>
      </w:r>
    </w:p>
    <w:p/>
    <w:tbl>
      <w:tblPr>
        <w:tblStyle w:val="LightGrid-Accent1"/>
        <w:tblW w:type="auto" w:w="0"/>
        <w:tblLook w:firstColumn="1" w:firstRow="1" w:lastColumn="0" w:lastRow="0" w:noHBand="0" w:noVBand="1" w:val="04A0"/>
      </w:tblPr>
      <w:tblGrid>
        <w:gridCol w:w="1680"/>
        <w:gridCol w:w="1680"/>
        <w:gridCol w:w="1680"/>
        <w:gridCol w:w="1680"/>
        <w:gridCol w:w="1680"/>
        <w:gridCol w:w="1680"/>
      </w:tblGrid>
      <w:tr>
        <w:tc>
          <w:tcPr>
            <w:tcW w:type="dxa" w:w="1680"/>
            <w:shd w:fill="4472C4"/>
          </w:tcPr>
          <w:p>
            <w:r>
              <w:rPr>
                <w:b/>
                <w:color w:val="FFFFFF"/>
              </w:rPr>
              <w:t>No</w:t>
            </w:r>
          </w:p>
        </w:tc>
        <w:tc>
          <w:tcPr>
            <w:tcW w:type="dxa" w:w="1680"/>
            <w:shd w:fill="4472C4"/>
          </w:tcPr>
          <w:p>
            <w:r>
              <w:rPr>
                <w:b/>
                <w:color w:val="FFFFFF"/>
              </w:rPr>
              <w:t>Topik</w:t>
            </w:r>
          </w:p>
        </w:tc>
        <w:tc>
          <w:tcPr>
            <w:tcW w:type="dxa" w:w="1680"/>
            <w:shd w:fill="4472C4"/>
          </w:tcPr>
          <w:p>
            <w:r>
              <w:rPr>
                <w:b/>
                <w:color w:val="FFFFFF"/>
              </w:rPr>
              <w:t>Pasal RUU</w:t>
            </w:r>
          </w:p>
        </w:tc>
        <w:tc>
          <w:tcPr>
            <w:tcW w:type="dxa" w:w="1680"/>
            <w:shd w:fill="4472C4"/>
          </w:tcPr>
          <w:p>
            <w:r>
              <w:rPr>
                <w:b/>
                <w:color w:val="FFFFFF"/>
              </w:rPr>
              <w:t>Pasal UU18</w:t>
            </w:r>
          </w:p>
        </w:tc>
        <w:tc>
          <w:tcPr>
            <w:tcW w:type="dxa" w:w="1680"/>
            <w:shd w:fill="4472C4"/>
          </w:tcPr>
          <w:p>
            <w:r>
              <w:rPr>
                <w:b/>
                <w:color w:val="FFFFFF"/>
              </w:rPr>
              <w:t>Jenis Ketidaksesuaian</w:t>
            </w:r>
          </w:p>
        </w:tc>
        <w:tc>
          <w:tcPr>
            <w:tcW w:type="dxa" w:w="1680"/>
            <w:shd w:fill="4472C4"/>
          </w:tcPr>
          <w:p>
            <w:r>
              <w:rPr>
                <w:b/>
                <w:color w:val="FFFFFF"/>
              </w:rPr>
              <w:t>Severity</w:t>
            </w:r>
          </w:p>
        </w:tc>
      </w:tr>
      <w:tr>
        <w:tc>
          <w:tcPr>
            <w:tcW w:type="dxa" w:w="1680"/>
          </w:tcPr>
          <w:p>
            <w:r>
              <w:t>1</w:t>
            </w:r>
          </w:p>
        </w:tc>
        <w:tc>
          <w:tcPr>
            <w:tcW w:type="dxa" w:w="1680"/>
          </w:tcPr>
          <w:p>
            <w:r>
              <w:t>Definisi Pekerja (scope PMI)</w:t>
            </w:r>
          </w:p>
        </w:tc>
        <w:tc>
          <w:tcPr>
            <w:tcW w:type="dxa" w:w="1680"/>
          </w:tcPr>
          <w:p>
            <w:r>
              <w:t>1-3</w:t>
            </w:r>
          </w:p>
        </w:tc>
        <w:tc>
          <w:tcPr>
            <w:tcW w:type="dxa" w:w="1680"/>
          </w:tcPr>
          <w:p>
            <w:r>
              <w:t>1-4</w:t>
            </w:r>
          </w:p>
        </w:tc>
        <w:tc>
          <w:tcPr>
            <w:tcW w:type="dxa" w:w="1680"/>
          </w:tcPr>
          <w:p>
            <w:r>
              <w:t>Tidak explicit mention PMI overseas</w:t>
            </w:r>
          </w:p>
        </w:tc>
        <w:tc>
          <w:tcPr>
            <w:tcW w:type="dxa" w:w="1680"/>
          </w:tcPr>
          <w:p>
            <w:r>
              <w:t>🔴</w:t>
            </w:r>
          </w:p>
        </w:tc>
      </w:tr>
      <w:tr>
        <w:tc>
          <w:tcPr>
            <w:tcW w:type="dxa" w:w="1680"/>
          </w:tcPr>
          <w:p>
            <w:r>
              <w:t>2</w:t>
            </w:r>
          </w:p>
        </w:tc>
        <w:tc>
          <w:tcPr>
            <w:tcW w:type="dxa" w:w="1680"/>
          </w:tcPr>
          <w:p>
            <w:r>
              <w:t>Zero-cost principle detail</w:t>
            </w:r>
          </w:p>
        </w:tc>
        <w:tc>
          <w:tcPr>
            <w:tcW w:type="dxa" w:w="1680"/>
          </w:tcPr>
          <w:p>
            <w:r>
              <w:t>19</w:t>
            </w:r>
          </w:p>
        </w:tc>
        <w:tc>
          <w:tcPr>
            <w:tcW w:type="dxa" w:w="1680"/>
          </w:tcPr>
          <w:p>
            <w:r>
              <w:t>10</w:t>
            </w:r>
          </w:p>
        </w:tc>
        <w:tc>
          <w:tcPr>
            <w:tcW w:type="dxa" w:w="1680"/>
          </w:tcPr>
          <w:p>
            <w:r>
              <w:t>RUU general, UU18 specific</w:t>
            </w:r>
          </w:p>
        </w:tc>
        <w:tc>
          <w:tcPr>
            <w:tcW w:type="dxa" w:w="1680"/>
          </w:tcPr>
          <w:p>
            <w:r>
              <w:t>🔴</w:t>
            </w:r>
          </w:p>
        </w:tc>
      </w:tr>
      <w:tr>
        <w:tc>
          <w:tcPr>
            <w:tcW w:type="dxa" w:w="1680"/>
          </w:tcPr>
          <w:p>
            <w:r>
              <w:t>3</w:t>
            </w:r>
          </w:p>
        </w:tc>
        <w:tc>
          <w:tcPr>
            <w:tcW w:type="dxa" w:w="1680"/>
          </w:tcPr>
          <w:p>
            <w:r>
              <w:t>Verifikasi Employer</w:t>
            </w:r>
          </w:p>
        </w:tc>
        <w:tc>
          <w:tcPr>
            <w:tcW w:type="dxa" w:w="1680"/>
          </w:tcPr>
          <w:p>
            <w:r>
              <w:t>20-21</w:t>
            </w:r>
          </w:p>
        </w:tc>
        <w:tc>
          <w:tcPr>
            <w:tcW w:type="dxa" w:w="1680"/>
          </w:tcPr>
          <w:p>
            <w:r>
              <w:t>28-29</w:t>
            </w:r>
          </w:p>
        </w:tc>
        <w:tc>
          <w:tcPr>
            <w:tcW w:type="dxa" w:w="1680"/>
          </w:tcPr>
          <w:p>
            <w:r>
              <w:t>RUU tidak detail, UU18 comprehensive</w:t>
            </w:r>
          </w:p>
        </w:tc>
        <w:tc>
          <w:tcPr>
            <w:tcW w:type="dxa" w:w="1680"/>
          </w:tcPr>
          <w:p>
            <w:r>
              <w:t>🟡</w:t>
            </w:r>
          </w:p>
        </w:tc>
      </w:tr>
      <w:tr>
        <w:tc>
          <w:tcPr>
            <w:tcW w:type="dxa" w:w="1680"/>
          </w:tcPr>
          <w:p>
            <w:r>
              <w:t>4</w:t>
            </w:r>
          </w:p>
        </w:tc>
        <w:tc>
          <w:tcPr>
            <w:tcW w:type="dxa" w:w="1680"/>
          </w:tcPr>
          <w:p>
            <w:r>
              <w:t>Perjanjian kerja bahasa</w:t>
            </w:r>
          </w:p>
        </w:tc>
        <w:tc>
          <w:tcPr>
            <w:tcW w:type="dxa" w:w="1680"/>
          </w:tcPr>
          <w:p>
            <w:r>
              <w:t>32</w:t>
            </w:r>
          </w:p>
        </w:tc>
        <w:tc>
          <w:tcPr>
            <w:tcW w:type="dxa" w:w="1680"/>
          </w:tcPr>
          <w:p>
            <w:r>
              <w:t>20</w:t>
            </w:r>
          </w:p>
        </w:tc>
        <w:tc>
          <w:tcPr>
            <w:tcW w:type="dxa" w:w="1680"/>
          </w:tcPr>
          <w:p>
            <w:r>
              <w:t>RUU fleksibel, UU18 mandate BI</w:t>
            </w:r>
          </w:p>
        </w:tc>
        <w:tc>
          <w:tcPr>
            <w:tcW w:type="dxa" w:w="1680"/>
          </w:tcPr>
          <w:p>
            <w:r>
              <w:t>🔴</w:t>
            </w:r>
          </w:p>
        </w:tc>
      </w:tr>
      <w:tr>
        <w:tc>
          <w:tcPr>
            <w:tcW w:type="dxa" w:w="1680"/>
          </w:tcPr>
          <w:p>
            <w:r>
              <w:t>5</w:t>
            </w:r>
          </w:p>
        </w:tc>
        <w:tc>
          <w:tcPr>
            <w:tcW w:type="dxa" w:w="1680"/>
          </w:tcPr>
          <w:p>
            <w:r>
              <w:t>PKWT vs PKWTT context</w:t>
            </w:r>
          </w:p>
        </w:tc>
        <w:tc>
          <w:tcPr>
            <w:tcW w:type="dxa" w:w="1680"/>
          </w:tcPr>
          <w:p>
            <w:r>
              <w:t>38-45</w:t>
            </w:r>
          </w:p>
        </w:tc>
        <w:tc>
          <w:tcPr>
            <w:tcW w:type="dxa" w:w="1680"/>
          </w:tcPr>
          <w:p>
            <w:r>
              <w:t>21</w:t>
            </w:r>
          </w:p>
        </w:tc>
        <w:tc>
          <w:tcPr>
            <w:tcW w:type="dxa" w:w="1680"/>
          </w:tcPr>
          <w:p>
            <w:r>
              <w:t>Context berbeda untuk PMI</w:t>
            </w:r>
          </w:p>
        </w:tc>
        <w:tc>
          <w:tcPr>
            <w:tcW w:type="dxa" w:w="1680"/>
          </w:tcPr>
          <w:p>
            <w:r>
              <w:t>🟡</w:t>
            </w:r>
          </w:p>
        </w:tc>
      </w:tr>
      <w:tr>
        <w:tc>
          <w:tcPr>
            <w:tcW w:type="dxa" w:w="1680"/>
          </w:tcPr>
          <w:p>
            <w:r>
              <w:t>6</w:t>
            </w:r>
          </w:p>
        </w:tc>
        <w:tc>
          <w:tcPr>
            <w:tcW w:type="dxa" w:w="1680"/>
          </w:tcPr>
          <w:p>
            <w:r>
              <w:t>Jam kerja adjustment LN</w:t>
            </w:r>
          </w:p>
        </w:tc>
        <w:tc>
          <w:tcPr>
            <w:tcW w:type="dxa" w:w="1680"/>
          </w:tcPr>
          <w:p>
            <w:r>
              <w:t>84-88</w:t>
            </w:r>
          </w:p>
        </w:tc>
        <w:tc>
          <w:tcPr>
            <w:tcW w:type="dxa" w:w="1680"/>
          </w:tcPr>
          <w:p>
            <w:r>
              <w:t>44</w:t>
            </w:r>
          </w:p>
        </w:tc>
        <w:tc>
          <w:tcPr>
            <w:tcW w:type="dxa" w:w="1680"/>
          </w:tcPr>
          <w:p>
            <w:r>
              <w:t>RUU 40 jam, UU18 40-45 adaptif</w:t>
            </w:r>
          </w:p>
        </w:tc>
        <w:tc>
          <w:tcPr>
            <w:tcW w:type="dxa" w:w="1680"/>
          </w:tcPr>
          <w:p>
            <w:r>
              <w:t>🟡</w:t>
            </w:r>
          </w:p>
        </w:tc>
      </w:tr>
      <w:tr>
        <w:tc>
          <w:tcPr>
            <w:tcW w:type="dxa" w:w="1680"/>
          </w:tcPr>
          <w:p>
            <w:r>
              <w:t>7</w:t>
            </w:r>
          </w:p>
        </w:tc>
        <w:tc>
          <w:tcPr>
            <w:tcW w:type="dxa" w:w="1680"/>
          </w:tcPr>
          <w:p>
            <w:r>
              <w:t>Wage formula baru</w:t>
            </w:r>
          </w:p>
        </w:tc>
        <w:tc>
          <w:tcPr>
            <w:tcW w:type="dxa" w:w="1680"/>
          </w:tcPr>
          <w:p>
            <w:r>
              <w:t>62-78</w:t>
            </w:r>
          </w:p>
        </w:tc>
        <w:tc>
          <w:tcPr>
            <w:tcW w:type="dxa" w:w="1680"/>
          </w:tcPr>
          <w:p>
            <w:r>
              <w:t>27-30</w:t>
            </w:r>
          </w:p>
        </w:tc>
        <w:tc>
          <w:tcPr>
            <w:tcW w:type="dxa" w:w="1680"/>
          </w:tcPr>
          <w:p>
            <w:r>
              <w:t>RUU produktivitas, UU18 regional+LN</w:t>
            </w:r>
          </w:p>
        </w:tc>
        <w:tc>
          <w:tcPr>
            <w:tcW w:type="dxa" w:w="1680"/>
          </w:tcPr>
          <w:p>
            <w:r>
              <w:t>🔴</w:t>
            </w:r>
          </w:p>
        </w:tc>
      </w:tr>
      <w:tr>
        <w:tc>
          <w:tcPr>
            <w:tcW w:type="dxa" w:w="1680"/>
          </w:tcPr>
          <w:p>
            <w:r>
              <w:t>8</w:t>
            </w:r>
          </w:p>
        </w:tc>
        <w:tc>
          <w:tcPr>
            <w:tcW w:type="dxa" w:w="1680"/>
          </w:tcPr>
          <w:p>
            <w:r>
              <w:t>Komponen upah allowances</w:t>
            </w:r>
          </w:p>
        </w:tc>
        <w:tc>
          <w:tcPr>
            <w:tcW w:type="dxa" w:w="1680"/>
          </w:tcPr>
          <w:p>
            <w:r>
              <w:t>79-86</w:t>
            </w:r>
          </w:p>
        </w:tc>
        <w:tc>
          <w:tcPr>
            <w:tcW w:type="dxa" w:w="1680"/>
          </w:tcPr>
          <w:p>
            <w:r>
              <w:t>30A</w:t>
            </w:r>
          </w:p>
        </w:tc>
        <w:tc>
          <w:tcPr>
            <w:tcW w:type="dxa" w:w="1680"/>
          </w:tcPr>
          <w:p>
            <w:r>
              <w:t>RUU general, UU18 khusus LN</w:t>
            </w:r>
          </w:p>
        </w:tc>
        <w:tc>
          <w:tcPr>
            <w:tcW w:type="dxa" w:w="1680"/>
          </w:tcPr>
          <w:p>
            <w:r>
              <w:t>🟡</w:t>
            </w:r>
          </w:p>
        </w:tc>
      </w:tr>
      <w:tr>
        <w:tc>
          <w:tcPr>
            <w:tcW w:type="dxa" w:w="1680"/>
          </w:tcPr>
          <w:p>
            <w:r>
              <w:t>9</w:t>
            </w:r>
          </w:p>
        </w:tc>
        <w:tc>
          <w:tcPr>
            <w:tcW w:type="dxa" w:w="1680"/>
          </w:tcPr>
          <w:p>
            <w:r>
              <w:t>Bank transfer upah mandatory</w:t>
            </w:r>
          </w:p>
        </w:tc>
        <w:tc>
          <w:tcPr>
            <w:tcW w:type="dxa" w:w="1680"/>
          </w:tcPr>
          <w:p>
            <w:r>
              <w:t>70</w:t>
            </w:r>
          </w:p>
        </w:tc>
        <w:tc>
          <w:tcPr>
            <w:tcW w:type="dxa" w:w="1680"/>
          </w:tcPr>
          <w:p>
            <w:r>
              <w:t>28</w:t>
            </w:r>
          </w:p>
        </w:tc>
        <w:tc>
          <w:tcPr>
            <w:tcW w:type="dxa" w:w="1680"/>
          </w:tcPr>
          <w:p>
            <w:r>
              <w:t>RUU tidak mention, UU18 mandate</w:t>
            </w:r>
          </w:p>
        </w:tc>
        <w:tc>
          <w:tcPr>
            <w:tcW w:type="dxa" w:w="1680"/>
          </w:tcPr>
          <w:p>
            <w:r>
              <w:t>🟡</w:t>
            </w:r>
          </w:p>
        </w:tc>
      </w:tr>
      <w:tr>
        <w:tc>
          <w:tcPr>
            <w:tcW w:type="dxa" w:w="1680"/>
          </w:tcPr>
          <w:p>
            <w:r>
              <w:t>10</w:t>
            </w:r>
          </w:p>
        </w:tc>
        <w:tc>
          <w:tcPr>
            <w:tcW w:type="dxa" w:w="1680"/>
          </w:tcPr>
          <w:p>
            <w:r>
              <w:t>BPJS kesehatan coverage</w:t>
            </w:r>
          </w:p>
        </w:tc>
        <w:tc>
          <w:tcPr>
            <w:tcW w:type="dxa" w:w="1680"/>
          </w:tcPr>
          <w:p>
            <w:r>
              <w:t>105-110</w:t>
            </w:r>
          </w:p>
        </w:tc>
        <w:tc>
          <w:tcPr>
            <w:tcW w:type="dxa" w:w="1680"/>
          </w:tcPr>
          <w:p>
            <w:r>
              <w:t>41-43</w:t>
            </w:r>
          </w:p>
        </w:tc>
        <w:tc>
          <w:tcPr>
            <w:tcW w:type="dxa" w:w="1680"/>
          </w:tcPr>
          <w:p>
            <w:r>
              <w:t>RUU general, UU18 + rider intl</w:t>
            </w:r>
          </w:p>
        </w:tc>
        <w:tc>
          <w:tcPr>
            <w:tcW w:type="dxa" w:w="1680"/>
          </w:tcPr>
          <w:p>
            <w:r>
              <w:t>🟡</w:t>
            </w:r>
          </w:p>
        </w:tc>
      </w:tr>
      <w:tr>
        <w:tc>
          <w:tcPr>
            <w:tcW w:type="dxa" w:w="1680"/>
          </w:tcPr>
          <w:p>
            <w:r>
              <w:t>11</w:t>
            </w:r>
          </w:p>
        </w:tc>
        <w:tc>
          <w:tcPr>
            <w:tcW w:type="dxa" w:w="1680"/>
          </w:tcPr>
          <w:p>
            <w:r>
              <w:t>BPJS contribution rates</w:t>
            </w:r>
          </w:p>
        </w:tc>
        <w:tc>
          <w:tcPr>
            <w:tcW w:type="dxa" w:w="1680"/>
          </w:tcPr>
          <w:p>
            <w:r>
              <w:t>110-120</w:t>
            </w:r>
          </w:p>
        </w:tc>
        <w:tc>
          <w:tcPr>
            <w:tcW w:type="dxa" w:w="1680"/>
          </w:tcPr>
          <w:p>
            <w:r>
              <w:t>43-46</w:t>
            </w:r>
          </w:p>
        </w:tc>
        <w:tc>
          <w:tcPr>
            <w:tcW w:type="dxa" w:w="1680"/>
          </w:tcPr>
          <w:p>
            <w:r>
              <w:t>RUU standard, UU18 employer-heavy</w:t>
            </w:r>
          </w:p>
        </w:tc>
        <w:tc>
          <w:tcPr>
            <w:tcW w:type="dxa" w:w="1680"/>
          </w:tcPr>
          <w:p>
            <w:r>
              <w:t>🟡</w:t>
            </w:r>
          </w:p>
        </w:tc>
      </w:tr>
      <w:tr>
        <w:tc>
          <w:tcPr>
            <w:tcW w:type="dxa" w:w="1680"/>
          </w:tcPr>
          <w:p>
            <w:r>
              <w:t>12</w:t>
            </w:r>
          </w:p>
        </w:tc>
        <w:tc>
          <w:tcPr>
            <w:tcW w:type="dxa" w:w="1680"/>
          </w:tcPr>
          <w:p>
            <w:r>
              <w:t>Rescue &amp; repatriasi mandate</w:t>
            </w:r>
          </w:p>
        </w:tc>
        <w:tc>
          <w:tcPr>
            <w:tcW w:type="dxa" w:w="1680"/>
          </w:tcPr>
          <w:p>
            <w:r>
              <w:t>Tidak ada</w:t>
            </w:r>
          </w:p>
        </w:tc>
        <w:tc>
          <w:tcPr>
            <w:tcW w:type="dxa" w:w="1680"/>
          </w:tcPr>
          <w:p>
            <w:r>
              <w:t>51-52</w:t>
            </w:r>
          </w:p>
        </w:tc>
        <w:tc>
          <w:tcPr>
            <w:tcW w:type="dxa" w:w="1680"/>
          </w:tcPr>
          <w:p>
            <w:r>
              <w:t>RUU TIDAK COVER, UU18 mandatory</w:t>
            </w:r>
          </w:p>
        </w:tc>
        <w:tc>
          <w:tcPr>
            <w:tcW w:type="dxa" w:w="1680"/>
          </w:tcPr>
          <w:p>
            <w:r>
              <w:t>🔴</w:t>
            </w:r>
          </w:p>
        </w:tc>
      </w:tr>
      <w:tr>
        <w:tc>
          <w:tcPr>
            <w:tcW w:type="dxa" w:w="1680"/>
          </w:tcPr>
          <w:p>
            <w:r>
              <w:t>13</w:t>
            </w:r>
          </w:p>
        </w:tc>
        <w:tc>
          <w:tcPr>
            <w:tcW w:type="dxa" w:w="1680"/>
          </w:tcPr>
          <w:p>
            <w:r>
              <w:t>Death benefit amount</w:t>
            </w:r>
          </w:p>
        </w:tc>
        <w:tc>
          <w:tcPr>
            <w:tcW w:type="dxa" w:w="1680"/>
          </w:tcPr>
          <w:p>
            <w:r>
              <w:t>Tidak specify</w:t>
            </w:r>
          </w:p>
        </w:tc>
        <w:tc>
          <w:tcPr>
            <w:tcW w:type="dxa" w:w="1680"/>
          </w:tcPr>
          <w:p>
            <w:r>
              <w:t>43B</w:t>
            </w:r>
          </w:p>
        </w:tc>
        <w:tc>
          <w:tcPr>
            <w:tcW w:type="dxa" w:w="1680"/>
          </w:tcPr>
          <w:p>
            <w:r>
              <w:t>RUU general, UU18 PMI-specific</w:t>
            </w:r>
          </w:p>
        </w:tc>
        <w:tc>
          <w:tcPr>
            <w:tcW w:type="dxa" w:w="1680"/>
          </w:tcPr>
          <w:p>
            <w:r>
              <w:t>🟡</w:t>
            </w:r>
          </w:p>
        </w:tc>
      </w:tr>
      <w:tr>
        <w:tc>
          <w:tcPr>
            <w:tcW w:type="dxa" w:w="1680"/>
          </w:tcPr>
          <w:p>
            <w:r>
              <w:t>14</w:t>
            </w:r>
          </w:p>
        </w:tc>
        <w:tc>
          <w:tcPr>
            <w:tcW w:type="dxa" w:w="1680"/>
          </w:tcPr>
          <w:p>
            <w:r>
              <w:t>Serikat pekerja SBMI</w:t>
            </w:r>
          </w:p>
        </w:tc>
        <w:tc>
          <w:tcPr>
            <w:tcW w:type="dxa" w:w="1680"/>
          </w:tcPr>
          <w:p>
            <w:r>
              <w:t>150-170</w:t>
            </w:r>
          </w:p>
        </w:tc>
        <w:tc>
          <w:tcPr>
            <w:tcW w:type="dxa" w:w="1680"/>
          </w:tcPr>
          <w:p>
            <w:r>
              <w:t>56-58</w:t>
            </w:r>
          </w:p>
        </w:tc>
        <w:tc>
          <w:tcPr>
            <w:tcW w:type="dxa" w:w="1680"/>
          </w:tcPr>
          <w:p>
            <w:r>
              <w:t>RUU general, UU18 recognize SBMI</w:t>
            </w:r>
          </w:p>
        </w:tc>
        <w:tc>
          <w:tcPr>
            <w:tcW w:type="dxa" w:w="1680"/>
          </w:tcPr>
          <w:p>
            <w:r>
              <w:t>🟡</w:t>
            </w:r>
          </w:p>
        </w:tc>
      </w:tr>
      <w:tr>
        <w:tc>
          <w:tcPr>
            <w:tcW w:type="dxa" w:w="1680"/>
          </w:tcPr>
          <w:p>
            <w:r>
              <w:t>15</w:t>
            </w:r>
          </w:p>
        </w:tc>
        <w:tc>
          <w:tcPr>
            <w:tcW w:type="dxa" w:w="1680"/>
          </w:tcPr>
          <w:p>
            <w:r>
              <w:t>Mogok kerja context PMI</w:t>
            </w:r>
          </w:p>
        </w:tc>
        <w:tc>
          <w:tcPr>
            <w:tcW w:type="dxa" w:w="1680"/>
          </w:tcPr>
          <w:p>
            <w:r>
              <w:t>180-195</w:t>
            </w:r>
          </w:p>
        </w:tc>
        <w:tc>
          <w:tcPr>
            <w:tcW w:type="dxa" w:w="1680"/>
          </w:tcPr>
          <w:p>
            <w:r>
              <w:t>62-64</w:t>
            </w:r>
          </w:p>
        </w:tc>
        <w:tc>
          <w:tcPr>
            <w:tcW w:type="dxa" w:w="1680"/>
          </w:tcPr>
          <w:p>
            <w:r>
              <w:t>RUU standard, UU18 acknowledge limited</w:t>
            </w:r>
          </w:p>
        </w:tc>
        <w:tc>
          <w:tcPr>
            <w:tcW w:type="dxa" w:w="1680"/>
          </w:tcPr>
          <w:p>
            <w:r>
              <w:t>🟡</w:t>
            </w:r>
          </w:p>
        </w:tc>
      </w:tr>
      <w:tr>
        <w:tc>
          <w:tcPr>
            <w:tcW w:type="dxa" w:w="1680"/>
          </w:tcPr>
          <w:p>
            <w:r>
              <w:t>16</w:t>
            </w:r>
          </w:p>
        </w:tc>
        <w:tc>
          <w:tcPr>
            <w:tcW w:type="dxa" w:w="1680"/>
          </w:tcPr>
          <w:p>
            <w:r>
              <w:t>Konsulat role dispute resolution</w:t>
            </w:r>
          </w:p>
        </w:tc>
        <w:tc>
          <w:tcPr>
            <w:tcW w:type="dxa" w:w="1680"/>
          </w:tcPr>
          <w:p>
            <w:r>
              <w:t>290-310</w:t>
            </w:r>
          </w:p>
        </w:tc>
        <w:tc>
          <w:tcPr>
            <w:tcW w:type="dxa" w:w="1680"/>
          </w:tcPr>
          <w:p>
            <w:r>
              <w:t>95-100</w:t>
            </w:r>
          </w:p>
        </w:tc>
        <w:tc>
          <w:tcPr>
            <w:tcW w:type="dxa" w:w="1680"/>
          </w:tcPr>
          <w:p>
            <w:r>
              <w:t>RUU domestic court, UU18 konsulat</w:t>
            </w:r>
          </w:p>
        </w:tc>
        <w:tc>
          <w:tcPr>
            <w:tcW w:type="dxa" w:w="1680"/>
          </w:tcPr>
          <w:p>
            <w:r>
              <w:t>🔴</w:t>
            </w:r>
          </w:p>
        </w:tc>
      </w:tr>
      <w:tr>
        <w:tc>
          <w:tcPr>
            <w:tcW w:type="dxa" w:w="1680"/>
          </w:tcPr>
          <w:p>
            <w:r>
              <w:t>17</w:t>
            </w:r>
          </w:p>
        </w:tc>
        <w:tc>
          <w:tcPr>
            <w:tcW w:type="dxa" w:w="1680"/>
          </w:tcPr>
          <w:p>
            <w:r>
              <w:t>International arbitration</w:t>
            </w:r>
          </w:p>
        </w:tc>
        <w:tc>
          <w:tcPr>
            <w:tcW w:type="dxa" w:w="1680"/>
          </w:tcPr>
          <w:p>
            <w:r>
              <w:t>Tidak explicit</w:t>
            </w:r>
          </w:p>
        </w:tc>
        <w:tc>
          <w:tcPr>
            <w:tcW w:type="dxa" w:w="1680"/>
          </w:tcPr>
          <w:p>
            <w:r>
              <w:t>66-67</w:t>
            </w:r>
          </w:p>
        </w:tc>
        <w:tc>
          <w:tcPr>
            <w:tcW w:type="dxa" w:w="1680"/>
          </w:tcPr>
          <w:p>
            <w:r>
              <w:t>RUU tidak mention, UU18 available</w:t>
            </w:r>
          </w:p>
        </w:tc>
        <w:tc>
          <w:tcPr>
            <w:tcW w:type="dxa" w:w="1680"/>
          </w:tcPr>
          <w:p>
            <w:r>
              <w:t>🟡</w:t>
            </w:r>
          </w:p>
        </w:tc>
      </w:tr>
      <w:tr>
        <w:tc>
          <w:tcPr>
            <w:tcW w:type="dxa" w:w="1680"/>
          </w:tcPr>
          <w:p>
            <w:r>
              <w:t>18</w:t>
            </w:r>
          </w:p>
        </w:tc>
        <w:tc>
          <w:tcPr>
            <w:tcW w:type="dxa" w:w="1680"/>
          </w:tcPr>
          <w:p>
            <w:r>
              <w:t>PHK &amp; pesangon PKWT</w:t>
            </w:r>
          </w:p>
        </w:tc>
        <w:tc>
          <w:tcPr>
            <w:tcW w:type="dxa" w:w="1680"/>
          </w:tcPr>
          <w:p>
            <w:r>
              <w:t>226-265</w:t>
            </w:r>
          </w:p>
        </w:tc>
        <w:tc>
          <w:tcPr>
            <w:tcW w:type="dxa" w:w="1680"/>
          </w:tcPr>
          <w:p>
            <w:r>
              <w:t>73-78</w:t>
            </w:r>
          </w:p>
        </w:tc>
        <w:tc>
          <w:tcPr>
            <w:tcW w:type="dxa" w:w="1680"/>
          </w:tcPr>
          <w:p>
            <w:r>
              <w:t>RUU uniform, UU18 context-specific</w:t>
            </w:r>
          </w:p>
        </w:tc>
        <w:tc>
          <w:tcPr>
            <w:tcW w:type="dxa" w:w="1680"/>
          </w:tcPr>
          <w:p>
            <w:r>
              <w:t>🟡</w:t>
            </w:r>
          </w:p>
        </w:tc>
      </w:tr>
      <w:tr>
        <w:tc>
          <w:tcPr>
            <w:tcW w:type="dxa" w:w="1680"/>
          </w:tcPr>
          <w:p>
            <w:r>
              <w:t>19</w:t>
            </w:r>
          </w:p>
        </w:tc>
        <w:tc>
          <w:tcPr>
            <w:tcW w:type="dxa" w:w="1680"/>
          </w:tcPr>
          <w:p>
            <w:r>
              <w:t>Repatriasi cost responsibility</w:t>
            </w:r>
          </w:p>
        </w:tc>
        <w:tc>
          <w:tcPr>
            <w:tcW w:type="dxa" w:w="1680"/>
          </w:tcPr>
          <w:p>
            <w:r>
              <w:t>Tidak mention</w:t>
            </w:r>
          </w:p>
        </w:tc>
        <w:tc>
          <w:tcPr>
            <w:tcW w:type="dxa" w:w="1680"/>
          </w:tcPr>
          <w:p>
            <w:r>
              <w:t>84</w:t>
            </w:r>
          </w:p>
        </w:tc>
        <w:tc>
          <w:tcPr>
            <w:tcW w:type="dxa" w:w="1680"/>
          </w:tcPr>
          <w:p>
            <w:r>
              <w:t>RUU tidak specify, UU18 employer</w:t>
            </w:r>
          </w:p>
        </w:tc>
        <w:tc>
          <w:tcPr>
            <w:tcW w:type="dxa" w:w="1680"/>
          </w:tcPr>
          <w:p>
            <w:r>
              <w:t>🔴</w:t>
            </w:r>
          </w:p>
        </w:tc>
      </w:tr>
      <w:tr>
        <w:tc>
          <w:tcPr>
            <w:tcW w:type="dxa" w:w="1680"/>
          </w:tcPr>
          <w:p>
            <w:r>
              <w:t>20</w:t>
            </w:r>
          </w:p>
        </w:tc>
        <w:tc>
          <w:tcPr>
            <w:tcW w:type="dxa" w:w="1680"/>
          </w:tcPr>
          <w:p>
            <w:r>
              <w:t>Trafficking definition alignment</w:t>
            </w:r>
          </w:p>
        </w:tc>
        <w:tc>
          <w:tcPr>
            <w:tcW w:type="dxa" w:w="1680"/>
          </w:tcPr>
          <w:p>
            <w:r>
              <w:t>316-320</w:t>
            </w:r>
          </w:p>
        </w:tc>
        <w:tc>
          <w:tcPr>
            <w:tcW w:type="dxa" w:w="1680"/>
          </w:tcPr>
          <w:p>
            <w:r>
              <w:t>116-121</w:t>
            </w:r>
          </w:p>
        </w:tc>
        <w:tc>
          <w:tcPr>
            <w:tcW w:type="dxa" w:w="1680"/>
          </w:tcPr>
          <w:p>
            <w:r>
              <w:t>RUU general, UU18 + UU 21/2007</w:t>
            </w:r>
          </w:p>
        </w:tc>
        <w:tc>
          <w:tcPr>
            <w:tcW w:type="dxa" w:w="1680"/>
          </w:tcPr>
          <w:p>
            <w:r>
              <w:t>🟡</w:t>
            </w:r>
          </w:p>
        </w:tc>
      </w:tr>
      <w:tr>
        <w:tc>
          <w:tcPr>
            <w:tcW w:type="dxa" w:w="1680"/>
          </w:tcPr>
          <w:p>
            <w:r>
              <w:t>21</w:t>
            </w:r>
          </w:p>
        </w:tc>
        <w:tc>
          <w:tcPr>
            <w:tcW w:type="dxa" w:w="1680"/>
          </w:tcPr>
          <w:p>
            <w:r>
              <w:t>Platform workers (gig economy)</w:t>
            </w:r>
          </w:p>
        </w:tc>
        <w:tc>
          <w:tcPr>
            <w:tcW w:type="dxa" w:w="1680"/>
          </w:tcPr>
          <w:p>
            <w:r>
              <w:t>Pasal baru</w:t>
            </w:r>
          </w:p>
        </w:tc>
        <w:tc>
          <w:tcPr>
            <w:tcW w:type="dxa" w:w="1680"/>
          </w:tcPr>
          <w:p>
            <w:r>
              <w:t>Tidak cover</w:t>
            </w:r>
          </w:p>
        </w:tc>
        <w:tc>
          <w:tcPr>
            <w:tcW w:type="dxa" w:w="1680"/>
          </w:tcPr>
          <w:p>
            <w:r>
              <w:t>RUU introduce, UU18 gap untuk PMI</w:t>
            </w:r>
          </w:p>
        </w:tc>
        <w:tc>
          <w:tcPr>
            <w:tcW w:type="dxa" w:w="1680"/>
          </w:tcPr>
          <w:p>
            <w:r>
              <w:t>🟡</w:t>
            </w:r>
          </w:p>
        </w:tc>
      </w:tr>
      <w:tr>
        <w:tc>
          <w:tcPr>
            <w:tcW w:type="dxa" w:w="1680"/>
          </w:tcPr>
          <w:p>
            <w:r>
              <w:t>22</w:t>
            </w:r>
          </w:p>
        </w:tc>
        <w:tc>
          <w:tcPr>
            <w:tcW w:type="dxa" w:w="1680"/>
          </w:tcPr>
          <w:p>
            <w:r>
              <w:t>Lex specialis principle</w:t>
            </w:r>
          </w:p>
        </w:tc>
        <w:tc>
          <w:tcPr>
            <w:tcW w:type="dxa" w:w="1680"/>
          </w:tcPr>
          <w:p>
            <w:r>
              <w:t>Umum</w:t>
            </w:r>
          </w:p>
        </w:tc>
        <w:tc>
          <w:tcPr>
            <w:tcW w:type="dxa" w:w="1680"/>
          </w:tcPr>
          <w:p>
            <w:r>
              <w:t>Umum</w:t>
            </w:r>
          </w:p>
        </w:tc>
        <w:tc>
          <w:tcPr>
            <w:tcW w:type="dxa" w:w="1680"/>
          </w:tcPr>
          <w:p>
            <w:r>
              <w:t>RUU tidak establish hierarchy</w:t>
            </w:r>
          </w:p>
        </w:tc>
        <w:tc>
          <w:tcPr>
            <w:tcW w:type="dxa" w:w="1680"/>
          </w:tcPr>
          <w:p>
            <w:r>
              <w:t>🟡</w:t>
            </w:r>
          </w:p>
        </w:tc>
      </w:tr>
    </w:tbl>
    <w:p>
      <w:r>
        <w:br w:type="page"/>
      </w:r>
    </w:p>
    <w:p>
      <w:pPr>
        <w:pStyle w:val="Heading1"/>
      </w:pPr>
      <w:r>
        <w:rPr>
          <w:color w:val="00008B"/>
        </w:rPr>
        <w:t>III. ANALISIS PASAL-PER-PASAL MENDALAM</w:t>
      </w:r>
    </w:p>
    <w:p>
      <w:pPr>
        <w:pStyle w:val="Heading2"/>
      </w:pPr>
      <w:r>
        <w:t>KONFLIK #1: DEFINISI 'PEKERJA' - TIDAK EXPLICIT MENGAKOMODASI PMI OVERSEAS</w:t>
      </w:r>
    </w:p>
    <w:p>
      <w:r>
        <w:t>SEVERITY: 🔴 CRITICAL | CATEGORY: DEFINITIONAL ISSUE</w:t>
      </w:r>
    </w:p>
    <w:p>
      <w:pPr>
        <w:pStyle w:val="Heading3"/>
      </w:pPr>
      <w:r>
        <w:t>Pasal yang Terkait:</w:t>
      </w:r>
    </w:p>
    <w:p>
      <w:r>
        <w:rPr>
          <w:b/>
        </w:rPr>
        <w:t xml:space="preserve">RUU Pasal 1(1): </w:t>
      </w:r>
      <w:r>
        <w:t>"Pekerja adalah setiap orang yang bekerja dengan menerima upah atau penghasilan dalam bentuk lain."</w:t>
      </w:r>
    </w:p>
    <w:p>
      <w:r>
        <w:rPr>
          <w:b/>
        </w:rPr>
        <w:t xml:space="preserve">UU 18/2017 Pasal 1(3): </w:t>
      </w:r>
      <w:r>
        <w:t>"Pekerja Migran Indonesia adalah warga negara Indonesia yang akan, sedang, atau telah melakukan pekerjaan dengan menerima upah di luar wilayah RI."</w:t>
      </w:r>
    </w:p>
    <w:p>
      <w:pPr>
        <w:pStyle w:val="Heading3"/>
      </w:pPr>
      <w:r>
        <w:t>Analisis Ketidaksesuaian:</w:t>
      </w:r>
    </w:p>
    <w:p>
      <w:pPr>
        <w:pStyle w:val="ListBullet"/>
      </w:pPr>
      <w:r>
        <w:t>1. RUU Pasal 1(1) memberikan definisi general tanpa membedakan lokasi kerja</w:t>
      </w:r>
    </w:p>
    <w:p>
      <w:pPr>
        <w:pStyle w:val="ListBullet"/>
      </w:pPr>
      <w:r>
        <w:t>2. UU 18/2017 Pasal 1(3) spesifik: 'di luar wilayah RI' → kategorisasi berbeda</w:t>
      </w:r>
    </w:p>
    <w:p>
      <w:pPr>
        <w:pStyle w:val="ListBullet"/>
      </w:pPr>
      <w:r>
        <w:t>3. Konsekuensi: RUU provisions untuk 'pekerja' mungkin misapplied ke PMI tanpa context adjustments</w:t>
      </w:r>
    </w:p>
    <w:p>
      <w:pPr>
        <w:pStyle w:val="ListBullet"/>
      </w:pPr>
      <w:r>
        <w:t>4. Risiko: Upah minimum regional lokal, jam kerja standard, dll applied uniform → mismatch dengan PMI overseas reality</w:t>
      </w:r>
    </w:p>
    <w:p>
      <w:pPr>
        <w:pStyle w:val="Heading3"/>
      </w:pPr>
      <w:r>
        <w:t>Dampak Implementasi:</w:t>
      </w:r>
    </w:p>
    <w:p>
      <w:r>
        <w:rPr>
          <w:b/>
        </w:rPr>
        <w:t xml:space="preserve">LEVEL KRITIS: </w:t>
      </w:r>
      <w:r>
        <w:t>Jika RUU treatment 'pekerja' uniform untuk lokal dan PMI, akan terjadi cascading problems dalam pasal-pasal selanjutnya (wage, jam kerja, jaminan sosial, dll)</w:t>
      </w:r>
    </w:p>
    <w:p>
      <w:pPr>
        <w:pStyle w:val="Heading3"/>
      </w:pPr>
      <w:r>
        <w:t>Rekomendasi Harmonisasi:</w:t>
      </w:r>
    </w:p>
    <w:p>
      <w:r>
        <w:rPr>
          <w:b/>
        </w:rPr>
        <w:t>RUU AMENDMENT NEEDED - Add Definitional Carve-Out:</w:t>
      </w:r>
    </w:p>
    <w:p>
      <w:r>
        <w:rPr>
          <w:b/>
        </w:rPr>
        <w:t>Pasal 1(1) REVISED:</w:t>
      </w:r>
      <w:r>
        <w:br/>
        <w:t>"Pekerja adalah setiap orang yang bekerja dengan menerima upah atau penghasilan dalam bentuk lain, termasuk Pekerja Migran Indonesia sebagaimana diatur dalam Undang-Undang Nomor 18 Tahun 2017."</w:t>
      </w:r>
    </w:p>
    <w:p>
      <w:r>
        <w:rPr>
          <w:b/>
        </w:rPr>
        <w:t>TAMBAHAN - Pasal [X] DEFINITIONAL CARVE-OUT:</w:t>
      </w:r>
      <w:r>
        <w:br/>
        <w:t>"(1) Untuk Pekerja Migran Indonesia yang bekerja di luar wilayah RI, perlindungan hak-hak kerja diatur dalam Undang-Undang Nomor 18 Tahun 2017 tentang Pelindungan Pekerja Migran Indonesia.</w:t>
        <w:br/>
        <w:t>(2) Provisions dalam undang-undang ini yang bertentangan dengan protections dalam Undang-Undang Nomor 18 Tahun 2017 tidak berlaku untuk Pekerja Migran Indonesia.</w:t>
        <w:br/>
        <w:t>(3) Implementasi provisions untuk Pekerja Migran Indonesia mempertimbangkan context-specific factors (biaya hidup, regulasi lokal, jaminan sosial bilateral) sebagaimana diatur dalam Undang-Undang Nomor 18 Tahun 2017 dan peraturan pelaksanaannya.</w:t>
      </w:r>
    </w:p>
    <w:p>
      <w:pPr>
        <w:pStyle w:val="Heading3"/>
      </w:pPr>
      <w:r>
        <w:t>Implikasi untuk Kementerian:</w:t>
      </w:r>
    </w:p>
    <w:p>
      <w:r>
        <w:t>KEMENTERIAN PPMI:</w:t>
      </w:r>
    </w:p>
    <w:p>
      <w:pPr>
        <w:pStyle w:val="ListBullet"/>
      </w:pPr>
      <w:r>
        <w:t>• Dapatkan explicit recognition dalam RUU</w:t>
      </w:r>
    </w:p>
    <w:p>
      <w:pPr>
        <w:pStyle w:val="ListBullet"/>
      </w:pPr>
      <w:r>
        <w:t>• Authority untuk develop context-specific implementing regulation</w:t>
      </w:r>
    </w:p>
    <w:p>
      <w:pPr>
        <w:pStyle w:val="ListBullet"/>
      </w:pPr>
      <w:r>
        <w:t>• Leadership untuk semua PMI-related provisions</w:t>
      </w:r>
    </w:p>
    <w:p>
      <w:r>
        <w:br/>
        <w:t>KEMENAKERTRANS:</w:t>
      </w:r>
    </w:p>
    <w:p>
      <w:pPr>
        <w:pStyle w:val="ListBullet"/>
      </w:pPr>
      <w:r>
        <w:t>• Implement RUU untuk domestic workers (lokal)</w:t>
      </w:r>
    </w:p>
    <w:p>
      <w:pPr>
        <w:pStyle w:val="ListBullet"/>
      </w:pPr>
      <w:r>
        <w:t>• Coordinate dengan KPPMI tentang training/skill certification components</w:t>
      </w:r>
    </w:p>
    <w:p>
      <w:r>
        <w:br w:type="page"/>
      </w:r>
    </w:p>
    <w:p>
      <w:pPr>
        <w:pStyle w:val="Heading2"/>
      </w:pPr>
      <w:r>
        <w:t>KONFLIK #2: PRINSIP ZERO-COST - DETAIL KOMPONEN TIDAK JELAS DI RUU</w:t>
      </w:r>
    </w:p>
    <w:p>
      <w:r>
        <w:t>SEVERITY: 🔴 CRITICAL | CATEGORY: ENFORCEMENT MECHANISM</w:t>
      </w:r>
    </w:p>
    <w:p>
      <w:pPr>
        <w:pStyle w:val="Heading3"/>
      </w:pPr>
      <w:r>
        <w:t>Pasal yang Terkait:</w:t>
      </w:r>
    </w:p>
    <w:p>
      <w:r>
        <w:rPr>
          <w:b/>
        </w:rPr>
        <w:t xml:space="preserve">RUU Pasal 19 (Penempatan): </w:t>
      </w:r>
      <w:r>
        <w:t>"Penempatan tenaga kerja dilakukan tanpa membebankan biaya kepada tenaga kerja sebagaimana diatur dalam undang-undang ini."</w:t>
      </w:r>
    </w:p>
    <w:p>
      <w:r>
        <w:rPr>
          <w:b/>
        </w:rPr>
        <w:t xml:space="preserve">UU 18/2017 Pasal 10 (Zero-Cost Principle): </w:t>
      </w:r>
      <w:r>
        <w:t>"Penempatan PMI dilakukan tanpa membebankan biaya kepada PMI. Biaya penempatan dibebankan kepada pemberi kerja. Biaya penempatan mencakup: (a) biaya dokumentasi; (b) pemeriksaan kesehatan; (c) asuransi jiwa; (d) pembekalan; (e) transportasi; (f) koordinasi penempatan."</w:t>
      </w:r>
    </w:p>
    <w:p>
      <w:pPr>
        <w:pStyle w:val="Heading3"/>
      </w:pPr>
      <w:r>
        <w:t>Analisis Ketidaksesuaian:</w:t>
      </w:r>
    </w:p>
    <w:p>
      <w:r>
        <w:t>RUU Pasal 19 Karakteristik:</w:t>
      </w:r>
    </w:p>
    <w:p>
      <w:pPr>
        <w:pStyle w:val="ListBullet"/>
      </w:pPr>
      <w:r>
        <w:t>• General statement saja (tidak detail)</w:t>
      </w:r>
    </w:p>
    <w:p>
      <w:pPr>
        <w:pStyle w:val="ListBullet"/>
      </w:pPr>
      <w:r>
        <w:t>• Tidak spesifik komponen biaya apa saja</w:t>
      </w:r>
    </w:p>
    <w:p>
      <w:pPr>
        <w:pStyle w:val="ListBullet"/>
      </w:pPr>
      <w:r>
        <w:t>• Tidak specify enforcement mechanism</w:t>
      </w:r>
    </w:p>
    <w:p>
      <w:pPr>
        <w:pStyle w:val="ListBullet"/>
      </w:pPr>
      <w:r>
        <w:t>• Tidak mention penalty untuk employer violation</w:t>
      </w:r>
    </w:p>
    <w:p>
      <w:r>
        <w:br/>
        <w:t>UU 18/2017 Pasal 10 Karakteristik:</w:t>
      </w:r>
    </w:p>
    <w:p>
      <w:pPr>
        <w:pStyle w:val="ListBullet"/>
      </w:pPr>
      <w:r>
        <w:t>• EXPLICIT komponen biaya (6 komponen tertulis)</w:t>
      </w:r>
    </w:p>
    <w:p>
      <w:pPr>
        <w:pStyle w:val="ListBullet"/>
      </w:pPr>
      <w:r>
        <w:t>• Clear responsibility: employer tangung jawab semua</w:t>
      </w:r>
    </w:p>
    <w:p>
      <w:pPr>
        <w:pStyle w:val="ListBullet"/>
      </w:pPr>
      <w:r>
        <w:t>• Enforcement: KPPMI verifikasi sebelum placement</w:t>
      </w:r>
    </w:p>
    <w:p>
      <w:pPr>
        <w:pStyle w:val="ListBullet"/>
      </w:pPr>
      <w:r>
        <w:t>• Sanksi: administrative + criminal jika employer melanggar</w:t>
      </w:r>
    </w:p>
    <w:p>
      <w:pPr>
        <w:pStyle w:val="Heading3"/>
      </w:pPr>
      <w:r>
        <w:t>Dampak Implementasi:</w:t>
      </w:r>
    </w:p>
    <w:p>
      <w:r>
        <w:t>Jika RUU Pasal 19 tidak detailed → employer interpretation flexibility → potensi PMI tetap charged untuk beberapa komponen biaya → zero-cost principle menjadi ineffective</w:t>
      </w:r>
    </w:p>
    <w:p>
      <w:pPr>
        <w:pStyle w:val="Heading3"/>
      </w:pPr>
      <w:r>
        <w:t>Rekomendasi Harmonisasi:</w:t>
      </w:r>
    </w:p>
    <w:p>
      <w:r>
        <w:rPr>
          <w:b/>
        </w:rPr>
        <w:t>RUU AMENDMENT - Explicit Reference ke UU 18/2017:</w:t>
      </w:r>
    </w:p>
    <w:p>
      <w:r>
        <w:rPr>
          <w:b/>
        </w:rPr>
        <w:t>RUU Pasal 19 REVISED:</w:t>
      </w:r>
      <w:r>
        <w:br/>
        <w:t>(1) Penempatan dilakukan tanpa membebankan biaya kepada tenaga kerja.</w:t>
        <w:br/>
        <w:t>(2) Untuk Pekerja Migran Indonesia, prinsip zero-cost diatur lebih lanjut dalam Undang-Undang Nomor 18 Tahun 2017 yang mencakup: (a) komponen biaya yang dibebankan kepada employer; (b) mekanisme verifikasi; (c) enforcement procedures.</w:t>
        <w:br/>
        <w:t>(3) Regulasi lebih lanjut ditetapkan oleh: Menteri Ketenagakerjaan untuk penempatan lokal, dan Menteri Pelindungan Pekerja Migran Indonesia untuk penempatan ke luar negeri.</w:t>
        <w:br/>
        <w:t>(4) Setiap bentuk pembebanan biaya kepada tenaga kerja adalah pelanggaran dan dikenai sanksi sesuai peraturan perundang-undangan.</w:t>
      </w:r>
    </w:p>
    <w:p>
      <w:pPr>
        <w:pStyle w:val="Heading3"/>
      </w:pPr>
      <w:r>
        <w:t>Implikasi untuk Kementerian:</w:t>
      </w:r>
    </w:p>
    <w:p>
      <w:r>
        <w:t>KEMENTERIAN PPMI:</w:t>
      </w:r>
    </w:p>
    <w:p>
      <w:pPr>
        <w:pStyle w:val="ListBullet"/>
      </w:pPr>
      <w:r>
        <w:t>• Maintain exclusive authority over zero-cost enforcement untuk PMI</w:t>
      </w:r>
    </w:p>
    <w:p>
      <w:pPr>
        <w:pStyle w:val="ListBullet"/>
      </w:pPr>
      <w:r>
        <w:t>• Develop detailed Permen PPMI tentang enforcement procedures &amp; penalties</w:t>
      </w:r>
    </w:p>
    <w:p>
      <w:pPr>
        <w:pStyle w:val="ListBullet"/>
      </w:pPr>
      <w:r>
        <w:t>• Pre-placement verification menjadi mandatory</w:t>
      </w:r>
    </w:p>
    <w:p>
      <w:r>
        <w:br w:type="page"/>
      </w:r>
    </w:p>
    <w:p>
      <w:pPr>
        <w:pStyle w:val="Heading2"/>
      </w:pPr>
      <w:r>
        <w:t>KONFLIK #3: PERJANJIAN KERJA - BAHASA (RED LINE ISSUE)</w:t>
      </w:r>
    </w:p>
    <w:p>
      <w:r>
        <w:t>SEVERITY: 🔴 CRITICAL | CATEGORY: WORKER PROTECTION</w:t>
      </w:r>
    </w:p>
    <w:p>
      <w:pPr>
        <w:pStyle w:val="Heading3"/>
      </w:pPr>
      <w:r>
        <w:t>Pasal yang Terkait:</w:t>
      </w:r>
    </w:p>
    <w:p>
      <w:r>
        <w:rPr>
          <w:b/>
        </w:rPr>
        <w:t xml:space="preserve">RUU Pasal 32: </w:t>
      </w:r>
      <w:r>
        <w:t>"Perjanjian kerja dalam bahasa yang dipahami pekerja"</w:t>
      </w:r>
    </w:p>
    <w:p>
      <w:r>
        <w:rPr>
          <w:b/>
        </w:rPr>
        <w:t xml:space="preserve">UU 18/2017 Pasal 20: </w:t>
      </w:r>
      <w:r>
        <w:t>"Perjanjian kerja WAJIB dalam Bahasa Indonesia dan bahasa negara tempat bekerja"</w:t>
      </w:r>
    </w:p>
    <w:p>
      <w:pPr>
        <w:pStyle w:val="Heading3"/>
      </w:pPr>
      <w:r>
        <w:t>Masalah Kritis:</w:t>
      </w:r>
    </w:p>
    <w:p>
      <w:pPr>
        <w:pStyle w:val="ListBullet"/>
      </w:pPr>
      <w:r>
        <w:t>RUU Pasal 32 FLEKSIBEL: 'bahasa yang dipahami' → interpretasi luas</w:t>
      </w:r>
    </w:p>
    <w:p>
      <w:pPr>
        <w:pStyle w:val="ListBullet"/>
      </w:pPr>
      <w:r>
        <w:t>UU 18/2017 Pasal 20 MANDATORY: 'Bahasa Indonesia' → non-negotiable</w:t>
      </w:r>
    </w:p>
    <w:p>
      <w:pPr>
        <w:pStyle w:val="ListBullet"/>
      </w:pPr>
      <w:r>
        <w:t>Risiko MAJOR: Employer bisa skip Bahasa Indonesia → PMI sign blank contract → exploitation</w:t>
      </w:r>
    </w:p>
    <w:p>
      <w:pPr>
        <w:pStyle w:val="ListBullet"/>
      </w:pPr>
      <w:r>
        <w:t>Ini adalah RED LINE untuk perlindungan PMI</w:t>
      </w:r>
    </w:p>
    <w:p>
      <w:pPr>
        <w:pStyle w:val="Heading3"/>
      </w:pPr>
      <w:r>
        <w:t>Rekomendasi:</w:t>
      </w:r>
    </w:p>
    <w:p>
      <w:r>
        <w:rPr>
          <w:b/>
        </w:rPr>
        <w:t>RUU AMENDMENT DIPERLUKAN</w:t>
      </w:r>
      <w:r>
        <w:br/>
        <w:t>RUU Pasal 32 revised untuk PMI-specific carve-out: 'Untuk Pekerja Migran Indonesia, perjanjian kerja WAJIB dalam Bahasa Indonesia'</w:t>
      </w:r>
    </w:p>
    <w:p>
      <w:r>
        <w:br w:type="page"/>
      </w:r>
    </w:p>
    <w:p>
      <w:pPr>
        <w:pStyle w:val="Heading1"/>
      </w:pPr>
      <w:r>
        <w:rPr>
          <w:color w:val="00008B"/>
        </w:rPr>
        <w:t>IV. REKOMENDASI HARMONISASI - RINGKASAN KOMPREHENSIF</w:t>
      </w:r>
    </w:p>
    <w:p>
      <w:pPr>
        <w:pStyle w:val="Heading2"/>
      </w:pPr>
      <w:r>
        <w:t>A. PRIORITY 1 - CRITICAL AMENDMENTS (Harus diselesaikan PAK)</w:t>
      </w:r>
    </w:p>
    <w:p>
      <w:r>
        <w:t>5 isu ini HARUS di-amend dalam RUU SEBELUM disahkan:</w:t>
      </w:r>
    </w:p>
    <w:p>
      <w:r>
        <w:rPr>
          <w:b/>
        </w:rPr>
        <w:t>1. Definisi Pekerja &amp; PMI Explicit Recognition</w:t>
      </w:r>
    </w:p>
    <w:p>
      <w:pPr>
        <w:pStyle w:val="ListBullet"/>
      </w:pPr>
      <w:r>
        <w:t>Aksi: Add definitional carve-out clause di RUU Pasal 1</w:t>
      </w:r>
    </w:p>
    <w:p>
      <w:pPr>
        <w:pStyle w:val="ListBullet"/>
      </w:pPr>
      <w:r>
        <w:t>Owner: KPPMI</w:t>
      </w:r>
    </w:p>
    <w:p>
      <w:pPr>
        <w:pStyle w:val="ListBullet"/>
      </w:pPr>
      <w:r>
        <w:t>Timeline: PAK negotiation (Sept-Nov 2026)</w:t>
      </w:r>
    </w:p>
    <w:p>
      <w:r>
        <w:rPr>
          <w:b/>
        </w:rPr>
        <w:t>2. Perjanjian Kerja Bahasa Indonesia untuk PMI</w:t>
      </w:r>
    </w:p>
    <w:p>
      <w:pPr>
        <w:pStyle w:val="ListBullet"/>
      </w:pPr>
      <w:r>
        <w:t>Aksi: RUU Pasal 32 revised dengan mandate Bahasa Indonesia untuk PMI</w:t>
      </w:r>
    </w:p>
    <w:p>
      <w:pPr>
        <w:pStyle w:val="ListBullet"/>
      </w:pPr>
      <w:r>
        <w:t>Owner: KPPMI</w:t>
      </w:r>
    </w:p>
    <w:p>
      <w:pPr>
        <w:pStyle w:val="ListBullet"/>
      </w:pPr>
      <w:r>
        <w:t>Timeline: PAK negotiation (Sept-Nov 2026)</w:t>
      </w:r>
    </w:p>
    <w:p>
      <w:r>
        <w:rPr>
          <w:b/>
        </w:rPr>
        <w:t>3. Rescue &amp; Repatriasi Mandate + APBN Funding</w:t>
      </w:r>
    </w:p>
    <w:p>
      <w:pPr>
        <w:pStyle w:val="ListBullet"/>
      </w:pPr>
      <w:r>
        <w:t>Aksi: Add explicit pasal dalam RUU tentang rescue program &amp; APBN allocation</w:t>
      </w:r>
    </w:p>
    <w:p>
      <w:pPr>
        <w:pStyle w:val="ListBullet"/>
      </w:pPr>
      <w:r>
        <w:t>Owner: KPPMI</w:t>
      </w:r>
    </w:p>
    <w:p>
      <w:pPr>
        <w:pStyle w:val="ListBullet"/>
      </w:pPr>
      <w:r>
        <w:t>Timeline: PAK negotiation (Sept-Nov 2026)</w:t>
      </w:r>
    </w:p>
    <w:p>
      <w:r>
        <w:rPr>
          <w:b/>
        </w:rPr>
        <w:t>4. Konsulat Role dalam Penyelesaian Perselisihan</w:t>
      </w:r>
    </w:p>
    <w:p>
      <w:pPr>
        <w:pStyle w:val="ListBullet"/>
      </w:pPr>
      <w:r>
        <w:t>Aksi: RUU Pasal 290-310 revised untuk accommodate konsulat mediation untuk PMI</w:t>
      </w:r>
    </w:p>
    <w:p>
      <w:pPr>
        <w:pStyle w:val="ListBullet"/>
      </w:pPr>
      <w:r>
        <w:t>Owner: KPPMI + Kemlu</w:t>
      </w:r>
    </w:p>
    <w:p>
      <w:pPr>
        <w:pStyle w:val="ListBullet"/>
      </w:pPr>
      <w:r>
        <w:t>Timeline: PAK negotiation (Sept-Nov 2026)</w:t>
      </w:r>
    </w:p>
    <w:p>
      <w:r>
        <w:rPr>
          <w:b/>
        </w:rPr>
        <w:t>5. Zero-Cost Principle - Detail Komponen</w:t>
      </w:r>
    </w:p>
    <w:p>
      <w:pPr>
        <w:pStyle w:val="ListBullet"/>
      </w:pPr>
      <w:r>
        <w:t>Aksi: RUU Pasal 19 explicit reference ke UU 18/2017 detailed components</w:t>
      </w:r>
    </w:p>
    <w:p>
      <w:pPr>
        <w:pStyle w:val="ListBullet"/>
      </w:pPr>
      <w:r>
        <w:t>Owner: KPPMI</w:t>
      </w:r>
    </w:p>
    <w:p>
      <w:pPr>
        <w:pStyle w:val="ListBullet"/>
      </w:pPr>
      <w:r>
        <w:t>Timeline: PAK negotiation (Sept-Nov 2026)</w:t>
      </w:r>
    </w:p>
    <w:p>
      <w:pPr>
        <w:pStyle w:val="Heading2"/>
      </w:pPr>
      <w:r>
        <w:t>B. PRIORITY 2 - MODERATE MISMATCHES (Perlu Permen/Perpres)</w:t>
      </w:r>
    </w:p>
    <w:p>
      <w:r>
        <w:t>12 isu ini dapat diselesaikan melalui Peraturan Menteri atau Perpres (tidak perlu amend RUU):</w:t>
      </w:r>
    </w:p>
    <w:p>
      <w:pPr>
        <w:pStyle w:val="ListBullet"/>
      </w:pPr>
      <w:r>
        <w:t>3. Verifikasi Employer detail standards</w:t>
      </w:r>
    </w:p>
    <w:p>
      <w:pPr>
        <w:pStyle w:val="ListBullet"/>
      </w:pPr>
      <w:r>
        <w:t>5. PKWT vs PKWTT aplikasi untuk PMI context</w:t>
      </w:r>
    </w:p>
    <w:p>
      <w:pPr>
        <w:pStyle w:val="ListBullet"/>
      </w:pPr>
      <w:r>
        <w:t>6. Jam kerja adjustment overseas</w:t>
      </w:r>
    </w:p>
    <w:p>
      <w:pPr>
        <w:pStyle w:val="ListBullet"/>
      </w:pPr>
      <w:r>
        <w:t>7. Wage formula adaptasi untuk PMI</w:t>
      </w:r>
    </w:p>
    <w:p>
      <w:pPr>
        <w:pStyle w:val="ListBullet"/>
      </w:pPr>
      <w:r>
        <w:t>8. Komponen upah allowances housing/food</w:t>
      </w:r>
    </w:p>
    <w:p>
      <w:pPr>
        <w:pStyle w:val="ListBullet"/>
      </w:pPr>
      <w:r>
        <w:t>9. Bank transfer mandatory untuk upah</w:t>
      </w:r>
    </w:p>
    <w:p>
      <w:pPr>
        <w:pStyle w:val="ListBullet"/>
      </w:pPr>
      <w:r>
        <w:t>10. BPJS kesehatan international rider</w:t>
      </w:r>
    </w:p>
    <w:p>
      <w:pPr>
        <w:pStyle w:val="ListBullet"/>
      </w:pPr>
      <w:r>
        <w:t>11. BPJS contribution rates untuk PMI</w:t>
      </w:r>
    </w:p>
    <w:p>
      <w:pPr>
        <w:pStyle w:val="ListBullet"/>
      </w:pPr>
      <w:r>
        <w:t>13. Death benefit amount untuk PMI</w:t>
      </w:r>
    </w:p>
    <w:p>
      <w:pPr>
        <w:pStyle w:val="ListBullet"/>
      </w:pPr>
      <w:r>
        <w:t>14. Serikat pekerja SBMI recognition</w:t>
      </w:r>
    </w:p>
    <w:p>
      <w:pPr>
        <w:pStyle w:val="ListBullet"/>
      </w:pPr>
      <w:r>
        <w:t>15. Mogok kerja context limitation PMI</w:t>
      </w:r>
    </w:p>
    <w:p>
      <w:pPr>
        <w:pStyle w:val="ListBullet"/>
      </w:pPr>
      <w:r>
        <w:t>22. Hierarchical interpretation principle (lex specialis)</w:t>
      </w:r>
    </w:p>
    <w:p>
      <w:r>
        <w:br w:type="page"/>
      </w:r>
    </w:p>
    <w:p>
      <w:pPr>
        <w:pStyle w:val="Heading1"/>
      </w:pPr>
      <w:r>
        <w:rPr>
          <w:color w:val="00008B"/>
        </w:rPr>
        <w:t>V. IMPLIKASI UNTUK KEMENAKERTRANS &amp; KEMENTERIAN PPMI</w:t>
      </w:r>
    </w:p>
    <w:p>
      <w:pPr>
        <w:pStyle w:val="Heading2"/>
      </w:pPr>
      <w:r>
        <w:t>A. KEMENTERIAN PELINDUNGAN PEKERJA MIGRAN INDONESIA</w:t>
      </w:r>
    </w:p>
    <w:p>
      <w:r>
        <w:t>KPPMI akan memiliki tanggungjawab yang lebih besar:</w:t>
      </w:r>
    </w:p>
    <w:p>
      <w:pPr>
        <w:pStyle w:val="Heading3"/>
      </w:pPr>
      <w:r>
        <w:t>REGULATORY AUTHORITY</w:t>
      </w:r>
    </w:p>
    <w:p>
      <w:pPr>
        <w:pStyle w:val="ListBullet"/>
      </w:pPr>
      <w:r>
        <w:t>Develop 5-6 Permen PPMI untuk PMI-specific provisions</w:t>
      </w:r>
    </w:p>
    <w:p>
      <w:pPr>
        <w:pStyle w:val="ListBullet"/>
      </w:pPr>
      <w:r>
        <w:t>Set wage determination per negara destination</w:t>
      </w:r>
    </w:p>
    <w:p>
      <w:pPr>
        <w:pStyle w:val="ListBullet"/>
      </w:pPr>
      <w:r>
        <w:t>Establish verification standards (employer, contract, cost)</w:t>
      </w:r>
    </w:p>
    <w:p>
      <w:pPr>
        <w:pStyle w:val="ListBullet"/>
      </w:pPr>
      <w:r>
        <w:t>Define rescue &amp; repatriasi procedures &amp; funding</w:t>
      </w:r>
    </w:p>
    <w:p>
      <w:pPr>
        <w:pStyle w:val="Heading3"/>
      </w:pPr>
      <w:r>
        <w:t>ENFORCEMENT &amp; VERIFICATION</w:t>
      </w:r>
    </w:p>
    <w:p>
      <w:pPr>
        <w:pStyle w:val="ListBullet"/>
      </w:pPr>
      <w:r>
        <w:t>Pre-placement: contract language, employer verification, zero-cost check</w:t>
      </w:r>
    </w:p>
    <w:p>
      <w:pPr>
        <w:pStyle w:val="ListBullet"/>
      </w:pPr>
      <w:r>
        <w:t>On-site monitoring: wage compliance, BPJS coverage, working conditions</w:t>
      </w:r>
    </w:p>
    <w:p>
      <w:pPr>
        <w:pStyle w:val="ListBullet"/>
      </w:pPr>
      <w:r>
        <w:t>Post-placement: repatriation, rehabilitation, reintegration support</w:t>
      </w:r>
    </w:p>
    <w:p>
      <w:pPr>
        <w:pStyle w:val="Heading3"/>
      </w:pPr>
      <w:r>
        <w:t>COORDINATION WITH KEMENAKERTRANS</w:t>
      </w:r>
    </w:p>
    <w:p>
      <w:pPr>
        <w:pStyle w:val="ListBullet"/>
      </w:pPr>
      <w:r>
        <w:t>Joint Steering Committee (quarterly)</w:t>
      </w:r>
    </w:p>
    <w:p>
      <w:pPr>
        <w:pStyle w:val="ListBullet"/>
      </w:pPr>
      <w:r>
        <w:t>Technical Working Group (monthly)</w:t>
      </w:r>
    </w:p>
    <w:p>
      <w:pPr>
        <w:pStyle w:val="ListBullet"/>
      </w:pPr>
      <w:r>
        <w:t>Data sharing protocol (SIMPEG ↔ DB-PMI)</w:t>
      </w:r>
    </w:p>
    <w:p>
      <w:pPr>
        <w:pStyle w:val="ListBullet"/>
      </w:pPr>
      <w:r>
        <w:t>Training coordination (occupational + PMI-specific)</w:t>
      </w:r>
    </w:p>
    <w:p>
      <w:pPr>
        <w:pStyle w:val="Heading3"/>
      </w:pPr>
      <w:r>
        <w:t>BUDGET &amp; RESOURCES</w:t>
      </w:r>
    </w:p>
    <w:p>
      <w:pPr>
        <w:pStyle w:val="ListBullet"/>
      </w:pPr>
      <w:r>
        <w:t>Rescue &amp; repatriasi program: target 0.1% dari total KPPMI budget minimum</w:t>
      </w:r>
    </w:p>
    <w:p>
      <w:pPr>
        <w:pStyle w:val="ListBullet"/>
      </w:pPr>
      <w:r>
        <w:t>Technology: digital tracking system, mobile app for reporting</w:t>
      </w:r>
    </w:p>
    <w:p>
      <w:pPr>
        <w:pStyle w:val="ListBullet"/>
      </w:pPr>
      <w:r>
        <w:t>Capacity: expand labor attaché, perwakilan RI coordination</w:t>
      </w:r>
    </w:p>
    <w:p>
      <w:pPr>
        <w:pStyle w:val="Heading2"/>
      </w:pPr>
      <w:r>
        <w:t>B. KEMENTERIAN KETENAGAKERJAAN</w:t>
      </w:r>
    </w:p>
    <w:p>
      <w:r>
        <w:t>Kemenakertrans fokus pada domestic workers, dengan coordination dengan KPPMI:</w:t>
      </w:r>
    </w:p>
    <w:p>
      <w:pPr>
        <w:pStyle w:val="Heading3"/>
      </w:pPr>
      <w:r>
        <w:t>REGULATORY SCOPE</w:t>
      </w:r>
    </w:p>
    <w:p>
      <w:pPr>
        <w:pStyle w:val="ListBullet"/>
      </w:pPr>
      <w:r>
        <w:t>Implement RUU untuk domestic workers (lokal)</w:t>
      </w:r>
    </w:p>
    <w:p>
      <w:pPr>
        <w:pStyle w:val="ListBullet"/>
      </w:pPr>
      <w:r>
        <w:t>Develop Permen Ketenagakerjaan dengan PMI coordination points</w:t>
      </w:r>
    </w:p>
    <w:p>
      <w:pPr>
        <w:pStyle w:val="ListBullet"/>
      </w:pPr>
      <w:r>
        <w:t>Reference UU 18/2017 dalam provisions yang melibatkan PMI</w:t>
      </w:r>
    </w:p>
    <w:p>
      <w:pPr>
        <w:pStyle w:val="Heading3"/>
      </w:pPr>
      <w:r>
        <w:t>DATA &amp; SIMPEG</w:t>
      </w:r>
    </w:p>
    <w:p>
      <w:pPr>
        <w:pStyle w:val="ListBullet"/>
      </w:pPr>
      <w:r>
        <w:t>Maintain &amp; develop SIMPEG untuk labor market information</w:t>
      </w:r>
    </w:p>
    <w:p>
      <w:pPr>
        <w:pStyle w:val="ListBullet"/>
      </w:pPr>
      <w:r>
        <w:t>Data integration dengan DB-PMI (KPPMI)</w:t>
      </w:r>
    </w:p>
    <w:p>
      <w:pPr>
        <w:pStyle w:val="ListBullet"/>
      </w:pPr>
      <w:r>
        <w:t>Share aggregate data untuk policy analysis</w:t>
      </w:r>
    </w:p>
    <w:p>
      <w:pPr>
        <w:pStyle w:val="Heading3"/>
      </w:pPr>
      <w:r>
        <w:t>CAPACITY BUILDING</w:t>
      </w:r>
    </w:p>
    <w:p>
      <w:pPr>
        <w:pStyle w:val="ListBullet"/>
      </w:pPr>
      <w:r>
        <w:t>Training untuk occupational skills (certification)</w:t>
      </w:r>
    </w:p>
    <w:p>
      <w:pPr>
        <w:pStyle w:val="ListBullet"/>
      </w:pPr>
      <w:r>
        <w:t>Coordinate dengan KPPMI tentang PMI-specific training</w:t>
      </w:r>
    </w:p>
    <w:p>
      <w:pPr>
        <w:pStyle w:val="ListBullet"/>
      </w:pPr>
      <w:r>
        <w:t>Joint training untuk calon PMI</w:t>
      </w:r>
    </w:p>
    <w:p>
      <w:pPr>
        <w:pStyle w:val="Heading3"/>
      </w:pPr>
      <w:r>
        <w:t>ENFORCEMENT COORDINATION</w:t>
      </w:r>
    </w:p>
    <w:p>
      <w:pPr>
        <w:pStyle w:val="ListBullet"/>
      </w:pPr>
      <w:r>
        <w:t>Share violation data dengan KPPMI</w:t>
      </w:r>
    </w:p>
    <w:p>
      <w:pPr>
        <w:pStyle w:val="ListBullet"/>
      </w:pPr>
      <w:r>
        <w:t>Joint investigation untuk cases involving PMI</w:t>
      </w:r>
    </w:p>
    <w:p>
      <w:pPr>
        <w:pStyle w:val="ListBullet"/>
      </w:pPr>
      <w:r>
        <w:t>Coordinate penalty imposition</w:t>
      </w:r>
    </w:p>
    <w:p>
      <w:r>
        <w:br w:type="page"/>
      </w:r>
    </w:p>
    <w:p>
      <w:pPr>
        <w:pStyle w:val="Heading1"/>
      </w:pPr>
      <w:r>
        <w:rPr>
          <w:color w:val="00008B"/>
        </w:rPr>
        <w:t>VI. ROADMAP IMPLEMENTASI HARMONISASI</w:t>
      </w:r>
    </w:p>
    <w:p>
      <w:pPr>
        <w:pStyle w:val="Heading2"/>
      </w:pPr>
      <w:r>
        <w:t>FASE 1: PAK &amp; NEGOTIATION (September - November 2026)</w:t>
      </w:r>
    </w:p>
    <w:p>
      <w:pPr>
        <w:pStyle w:val="ListBullet"/>
      </w:pPr>
      <w:r>
        <w:t>Present 5 CRITICAL conflicts ke PAK participants</w:t>
      </w:r>
    </w:p>
    <w:p>
      <w:pPr>
        <w:pStyle w:val="ListBullet"/>
      </w:pPr>
      <w:r>
        <w:t>Propose RUU amendments dengan exact language</w:t>
      </w:r>
    </w:p>
    <w:p>
      <w:pPr>
        <w:pStyle w:val="ListBullet"/>
      </w:pPr>
      <w:r>
        <w:t>Negotiate &amp; finalize RUU text dengan 8 kementerian peserta</w:t>
      </w:r>
    </w:p>
    <w:p>
      <w:pPr>
        <w:pStyle w:val="ListBullet"/>
      </w:pPr>
      <w:r>
        <w:t>Draft MOU antara KPPMI-Kemenakertrans tentang division of labor &amp; coordination</w:t>
      </w:r>
    </w:p>
    <w:p>
      <w:pPr>
        <w:pStyle w:val="Heading2"/>
      </w:pPr>
      <w:r>
        <w:t>FASE 2: REGULATORY DEVELOPMENT (December 2026 - March 2027)</w:t>
      </w:r>
    </w:p>
    <w:p>
      <w:pPr>
        <w:pStyle w:val="ListBullet"/>
      </w:pPr>
      <w:r>
        <w:t>KPPMI develop Permen PPMI: wage, BPJS, verification, rescue, repatriasi</w:t>
      </w:r>
    </w:p>
    <w:p>
      <w:pPr>
        <w:pStyle w:val="ListBullet"/>
      </w:pPr>
      <w:r>
        <w:t>Kemenakertrans develop Permen Ketenagakerjaan: domestic implementation + coordination</w:t>
      </w:r>
    </w:p>
    <w:p>
      <w:pPr>
        <w:pStyle w:val="ListBullet"/>
      </w:pPr>
      <w:r>
        <w:t>Joint develop Implementation Guidelines</w:t>
      </w:r>
    </w:p>
    <w:p>
      <w:pPr>
        <w:pStyle w:val="ListBullet"/>
      </w:pPr>
      <w:r>
        <w:t>Public consultation dengan stakeholders</w:t>
      </w:r>
    </w:p>
    <w:p>
      <w:pPr>
        <w:pStyle w:val="ListBullet"/>
      </w:pPr>
      <w:r>
        <w:t>Finalize dan publish regulasi</w:t>
      </w:r>
    </w:p>
    <w:p>
      <w:pPr>
        <w:pStyle w:val="Heading2"/>
      </w:pPr>
      <w:r>
        <w:t>FASE 3: IMPLEMENTATION &amp; MONITORING (April - December 2027)</w:t>
      </w:r>
    </w:p>
    <w:p>
      <w:pPr>
        <w:pStyle w:val="ListBullet"/>
      </w:pPr>
      <w:r>
        <w:t>Launch RUU implementation untuk domestic workers</w:t>
      </w:r>
    </w:p>
    <w:p>
      <w:pPr>
        <w:pStyle w:val="ListBullet"/>
      </w:pPr>
      <w:r>
        <w:t>Launch Permen PPMI implementation untuk PMI protection</w:t>
      </w:r>
    </w:p>
    <w:p>
      <w:pPr>
        <w:pStyle w:val="ListBullet"/>
      </w:pPr>
      <w:r>
        <w:t>Establish Joint Steering Committee (Menteri level) - quarterly meetings</w:t>
      </w:r>
    </w:p>
    <w:p>
      <w:pPr>
        <w:pStyle w:val="ListBullet"/>
      </w:pPr>
      <w:r>
        <w:t>Establish Technical Working Group (DJG level) - monthly meetings</w:t>
      </w:r>
    </w:p>
    <w:p>
      <w:pPr>
        <w:pStyle w:val="ListBullet"/>
      </w:pPr>
      <w:r>
        <w:t>Operasionalize coordination protocol</w:t>
      </w:r>
    </w:p>
    <w:p>
      <w:pPr>
        <w:pStyle w:val="ListBullet"/>
      </w:pPr>
      <w:r>
        <w:t>Capacity building untuk implementers (DJG, Perwakilan RI, daerah)</w:t>
      </w:r>
    </w:p>
    <w:p>
      <w:pPr>
        <w:pStyle w:val="Heading2"/>
      </w:pPr>
      <w:r>
        <w:t>FASE 4: EVALUATION &amp; REFINEMENT (2027-2028)</w:t>
      </w:r>
    </w:p>
    <w:p>
      <w:pPr>
        <w:pStyle w:val="ListBullet"/>
      </w:pPr>
      <w:r>
        <w:t>Mid-term evaluation (12 bulan implementation)</w:t>
      </w:r>
    </w:p>
    <w:p>
      <w:pPr>
        <w:pStyle w:val="ListBullet"/>
      </w:pPr>
      <w:r>
        <w:t>Assess RUU implementation effectiveness vs PMI outcomes</w:t>
      </w:r>
    </w:p>
    <w:p>
      <w:pPr>
        <w:pStyle w:val="ListBullet"/>
      </w:pPr>
      <w:r>
        <w:t>Identify unintended consequences &amp; challenges</w:t>
      </w:r>
    </w:p>
    <w:p>
      <w:pPr>
        <w:pStyle w:val="ListBullet"/>
      </w:pPr>
      <w:r>
        <w:t>Refinement actions (amend Permen, adjust protocol as needed)</w:t>
      </w:r>
    </w:p>
    <w:p>
      <w:r>
        <w:br w:type="page"/>
      </w:r>
    </w:p>
    <w:p>
      <w:pPr>
        <w:pStyle w:val="Heading1"/>
      </w:pPr>
      <w:r>
        <w:rPr>
          <w:color w:val="00008B"/>
        </w:rPr>
        <w:t>PENUTUP &amp; KESIMPULAN</w:t>
      </w:r>
    </w:p>
    <w:p>
      <w:r>
        <w:t>Riset ini menunjukkan bahwa harmonisasi antara RUU Pelindungan Ketenagakerjaan dengan UU 18/2017 adalah MUNGKIN DICAPAI dengan tiga strategi utama:</w:t>
      </w:r>
    </w:p>
    <w:p>
      <w:pPr>
        <w:pStyle w:val="ListBullet"/>
      </w:pPr>
      <w:r>
        <w:t>1. EXPLICIT AMENDMENTS dalam RUU untuk 5 CRITICAL conflicts</w:t>
      </w:r>
    </w:p>
    <w:p>
      <w:pPr>
        <w:pStyle w:val="ListBullet"/>
      </w:pPr>
      <w:r>
        <w:t>2. DETAILED IMPLEMENTING REGULATIONS (Permen) untuk 12 MODERATE mismatches</w:t>
      </w:r>
    </w:p>
    <w:p>
      <w:pPr>
        <w:pStyle w:val="ListBullet"/>
      </w:pPr>
      <w:r>
        <w:t>3. STRONG COORDINATION MECHANISM antara KPPMI-Kemenakertrans + stakeholders</w:t>
      </w:r>
    </w:p>
    <w:p/>
    <w:p>
      <w:r>
        <w:rPr>
          <w:b/>
        </w:rPr>
        <w:t xml:space="preserve">MOMENTUM KRITIS: </w:t>
      </w:r>
      <w:r>
        <w:t>PAK 12-13 September 2026 adalah CRITICAL WINDOW untuk securing amendments. Post-PAK, kedua kementerian dapat immediately fokus pada regulatory development tanpa delay.</w:t>
      </w:r>
    </w:p>
    <w:p/>
    <w:p>
      <w:r>
        <w:rPr>
          <w:b/>
        </w:rPr>
        <w:t xml:space="preserve">PRINSIP FUNDAMENTAL: </w:t>
      </w:r>
      <w:r>
        <w:t>Harmonisasi BUKAN tentang downgrading PMI protection, melainkan INTEGRATION dua framework regulasi yang complementary: RUU = general framework untuk semua pekerja, UU 18/2017 = specialized implementation untuk PMI overseas. Keduanya HARUS berjalan beriringan tanpa conflict—mutual reinforcement model.</w:t>
      </w:r>
    </w:p>
    <w:p/>
    <w:p>
      <w:r>
        <w:rPr>
          <w:b/>
        </w:rPr>
        <w:t xml:space="preserve">OUTCOME YANG DIHARAPKAN: </w:t>
      </w:r>
      <w:r>
        <w:t>Setelah harmonisasi complete, Indonesia akan memiliki framework ketenagakerjaan yang comprehensive &amp; integrated: protecting domestic workers AND migrant workers dengan standar internasional. Ini akan memperkuat posisi Indonesia sebagai global leader dalam labor protection, meningkatkan PMI competitiveness di pasar kerja internasional, dan ultimately melindungi 11 juta PMI + keluarganya di 151 negara tujuan.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