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rPr>
          <w:rFonts w:ascii="黑体;SimHei" w:hAnsi="黑体;SimHei" w:cs="黑体;SimHei" w:eastAsia="黑体;SimHei"/>
          <w:sz w:val="40"/>
          <w:szCs w:val="40"/>
          <w:b/>
        </w:rPr>
      </w:pPr>
      <w:r>
        <w:rPr>
          <w:rFonts w:ascii="黑体;SimHei" w:hAnsi="黑体;SimHei" w:cs="黑体;SimHei" w:eastAsia="黑体;SimHei"/>
          <w:sz w:val="40"/>
          <w:szCs w:val="40"/>
          <w:b/>
        </w:rPr>
        <w:t>从GAN到Sora：图像与视频生成技术的演进脉络、比较与发展趋势</w:t>
      </w:r>
    </w:p>
    <w:p>
      <w:pPr>
        <w:jc w:val="center"/>
        <w:rPr>
          <w:rFonts w:ascii="楷体_GB2312;楷体" w:hAnsi="楷体_GB2312;楷体" w:cs="楷体_GB2312;楷体" w:eastAsia="楷体_GB2312;楷体"/>
          <w:sz w:val="28"/>
          <w:szCs w:val="28"/>
        </w:rPr>
      </w:pPr>
      <w:r>
        <w:rPr>
          <w:rFonts w:ascii="楷体_GB2312;楷体" w:hAnsi="楷体_GB2312;楷体" w:cs="楷体_GB2312;楷体" w:eastAsia="楷体_GB2312;楷体"/>
          <w:sz w:val="28"/>
          <w:szCs w:val="28"/>
        </w:rPr>
        <w:t>张 三  李 四</w:t>
      </w:r>
    </w:p>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（XX大学 XX学院，北京 100044）</w:t>
      </w:r>
    </w:p>
    <w:p>
      <w:pPr>
        <w:ind w:left="425" w:right="425"/>
        <w:jc w:val="both"/>
        <w:rPr>
          <w:rFonts w:ascii="Times New Roman" w:hAnsi="Times New Roman" w:cs="Times New Roman" w:eastAsia="楷体_GB2312;楷体"/>
          <w:sz w:val="21"/>
          <w:szCs w:val="21"/>
        </w:rPr>
      </w:pPr>
      <w:r>
        <w:rPr>
          <w:rFonts w:ascii="黑体;SimHei" w:hAnsi="黑体;SimHei" w:cs="黑体;SimHei" w:eastAsia="黑体;SimHei"/>
          <w:sz w:val="21"/>
          <w:szCs w:val="21"/>
        </w:rPr>
        <w:t>摘要：</w:t>
      </w:r>
      <w:r>
        <w:rPr>
          <w:rFonts w:ascii="Times New Roman" w:hAnsi="Times New Roman" w:cs="Times New Roman" w:eastAsia="楷体_GB2312;楷体"/>
          <w:sz w:val="21"/>
          <w:szCs w:val="21"/>
        </w:rPr>
        <w:t>以ChatGPT和扩散模型为标志，人工智能生成内容（AIGC）已进入快速发展期。图像与视频生成作为AIGC的核心领域，经历了从生成对抗网络（GAN）到扩散模型（Diffusion Models），再到基于Transformer的扩散模型（DiT）的三次范式转型。本文系统梳理了图像与视频生成技术的发展脉络，首先回顾了GAN、VAE、自回归模型等早期工作的核心思想与局限；继而重点分析了扩散模型的理论基础、架构演进及其在图像生成中取得突破的关键因素；在此基础上，深入探讨了视频生成中时空建模的核心挑战与代表性方法，涵盖基于GAN、基于扩散模型和基于DiT三条技术路线。本文对各类方法从生成质量、计算效率、可控性和可扩展性四个维度进行了系统的比较分析，并针对当前面临的时序一致性、物理合理性、计算成本等关键挑战提出了未来研究方向的展望。</w:t>
      </w:r>
    </w:p>
    <w:p>
      <w:pPr>
        <w:ind w:left="425" w:right="425"/>
        <w:jc w:val="both"/>
        <w:rPr>
          <w:rFonts w:ascii="Times New Roman" w:hAnsi="Times New Roman" w:cs="Times New Roman" w:eastAsia="楷体_GB2312;楷体"/>
          <w:sz w:val="21"/>
          <w:szCs w:val="21"/>
        </w:rPr>
      </w:pPr>
      <w:r>
        <w:rPr>
          <w:rFonts w:ascii="黑体;SimHei" w:hAnsi="黑体;SimHei" w:cs="黑体;SimHei" w:eastAsia="黑体;SimHei"/>
          <w:sz w:val="21"/>
          <w:szCs w:val="21"/>
        </w:rPr>
        <w:t>关键词：</w:t>
      </w:r>
      <w:r>
        <w:rPr>
          <w:rFonts w:ascii="Times New Roman" w:hAnsi="Times New Roman" w:cs="Times New Roman" w:eastAsia="楷体_GB2312;楷体"/>
          <w:sz w:val="21"/>
          <w:szCs w:val="21"/>
        </w:rPr>
        <w:t>人工智能生成内容；图像生成；视频生成；扩散模型；DiT；Sora</w:t>
      </w:r>
    </w:p>
    <w:p>
      <w:pPr>
        <w:spacing w:line="220" w:lineRule="exact"/>
        <w:jc w:val="left"/>
        <w:rPr>
          <w:rFonts w:ascii="黑体;SimHei" w:hAnsi="黑体;SimHei" w:cs="黑体;SimHei" w:eastAsia="黑体;SimHei"/>
          <w:sz w:val="28"/>
          <w:szCs w:val="28"/>
        </w:rPr>
      </w:pPr>
      <w:r>
        <w:rPr>
          <w:rFonts w:ascii="黑体;SimHei" w:hAnsi="黑体;SimHei" w:cs="黑体;SimHei" w:eastAsia="黑体;SimHei"/>
          <w:sz w:val="28"/>
          <w:szCs w:val="28"/>
        </w:rPr>
        <w:t>1 引言</w:t>
      </w:r>
    </w:p>
    <w:p>
      <w:pPr>
        <w:jc w:val="both"/>
        <w:rPr>
          <w:rFonts w:ascii="Times New Roman" w:hAnsi="Times New Roman" w:cs="Times New Roman"/>
          <w:sz w:val="32"/>
          <w:szCs w:val="32"/>
          <w:b/>
        </w:rPr>
      </w:pPr>
      <w:r>
        <w:rPr>
          <w:rFonts w:ascii="Times New Roman" w:hAnsi="Times New Roman" w:cs="Times New Roman"/>
          <w:sz w:val="32"/>
          <w:szCs w:val="32"/>
          <w:b/>
        </w:rPr>
        <w:t>人工智能生成内容（AI-Generated Content, AIGC）是指利用人工智能技术自动或半自动地生成文字、图像、音频、视频等多模态内容的新兴领域。近年来，随着深度学习理论的不断突破和大规模计算资源的日益普及，AIGC技术取得了令人瞩目的进展，正在深刻改变内容创作、媒体传播、影视制作、游戏开发等多个行业的生产方式。其中，图像与视频生成技术因其广泛的应用前景和巨大的商业价值，成为AIGC领域最受关注的研究方向之一。</w:t>
      </w:r>
    </w:p>
    <w:p>
      <w:pPr>
        <w:jc w:val="both"/>
        <w:rPr>
          <w:rFonts w:ascii="Times New Roman" w:hAnsi="Times New Roman" w:cs="Times New Roman"/>
          <w:sz w:val="28"/>
          <w:szCs w:val="28"/>
          <w:i/>
        </w:rPr>
      </w:pPr>
      <w:r>
        <w:rPr>
          <w:rFonts w:ascii="Times New Roman" w:hAnsi="Times New Roman" w:cs="Times New Roman"/>
          <w:sz w:val="28"/>
          <w:szCs w:val="28"/>
          <w:i/>
        </w:rPr>
        <w:t>回顾图像与视频生成技术的发展历程，可以清晰地辨识出三次重要的范式转型。第一次转型发生在2014年前后，Goodfellow等人提出的生成对抗网络（Generative Adversarial Networks, GAN）开创了通过对抗训练进行生成建模的新范式[1]。GAN通过生成器与判别器的博弈来实现数据分布的学习，在图像生成任务上取得了令人印象深刻的效果。随后的发展催生了DCGAN、StyleGAN、BigGAN等一系列重要的改进模型，使GAN成为2010年代图像生成领域的主导方法[2-5]。然而，GAN在训练稳定性、模式覆盖率和生成多样性等方面始终面临固有挑战。</w:t>
      </w:r>
    </w:p>
    <w:p>
      <w:pPr>
        <w:jc w:val="both"/>
        <w:rPr>
          <w:rFonts w:ascii="Times New Roman" w:hAnsi="Times New Roman" w:cs="Times New Roman"/>
          <w:sz w:val="18"/>
          <w:szCs w:val="18"/>
        </w:rPr>
      </w:pPr>
      <w:r>
        <w:rPr>
          <w:rFonts w:ascii="Times New Roman" w:hAnsi="Times New Roman" w:cs="Times New Roman"/>
          <w:sz w:val="18"/>
          <w:szCs w:val="18"/>
        </w:rPr>
        <w:t>第二次转型以2020年扩散模型（Diffusion Models）的崛起为标志。Ho等人提出的去噪扩散概率模型（Denoising Diffusion Probabilistic Models, DDPM）[6]通过向数据中逐步添加噪声并学习逆过程来实现生成，其简洁的理论框架和出色的生成质量迅速引起了学术界的广泛关注。此后，Dhariwal和Nichol证明了扩散模型在图像生成质量上可以超越GAN[7]，引发了研究社区从GAN向扩散模型的系统性转向。以Stable Diffusion[8]、DALL-E 2[9]和Imagen[10]为代表的文本到图像（Text-to-Image）扩散模型将这一技术范式推向了实际应用的新高度。</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第三次转型则在2023年前后初现端倪。Peebles和Xie提出的DiT（Diffusion Transformer）架构[11]将扩散模型中的传统U-Net骨干网络替换为Transformer，在ImageNet基准上取得了当时最优的生成效果，同时展现出良好的可扩展性（Scaling）特性。这一发现预示着视觉生成领域可能沿着语言模型的发展路径，进入基于Transformer架构和大规模扩展的新阶段。2024年初，OpenAI发布的Sora视频生成模型[12]正是基于DiT架构，通过在海量视频数据上大规模训练实现了令人惊叹的视频生成能力，被视为通向通用视觉生成模型的重要一步。</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本文旨在对图像与视频生成技术的演进脉络进行系统性的梳理与评述。与已有综述不同，本文着重突出以下三个视角：（1）技术代际跃迁的驱动因素分析——三次范式转型背后的理论基础和工程突破是什么？（2）从图像到视频的维度扩展——空间生成能力如何向时空联合建模延伸，其中面临哪些独特的挑战？（3）方法评价的多维框架——除了生成质量，计算效率、可控性和可扩展性如何成为衡量技术成熟度的关键维度。通过上述分析，本文希望能为该领域的研究者和从业者提供一个全面的技术图景分析，并对未来发展趋势提出有价值的判断。</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本文的组织结构如下：第2节回顾图像生成技术的发展历程，涵盖GAN、VAE、自回归模型、扩散模型和DiT等主要技术路线；第3节讨论视频生成技术的演进，分别从基于GAN、基于扩散模型和基于DiT三种范式展开分析；第4节对主要方法进行多维度比较与评价；第5节分析当前面临的关键挑战并展望未来发展方向；第6节总结全文。</w:t>
      </w:r>
    </w:p>
    <w:p>
      <w:pPr>
        <w:spacing w:line="220" w:lineRule="exact"/>
        <w:jc w:val="left"/>
        <w:rPr>
          <w:rFonts w:ascii="黑体;SimHei" w:hAnsi="黑体;SimHei" w:cs="黑体;SimHei" w:eastAsia="黑体;SimHei"/>
          <w:sz w:val="28"/>
          <w:szCs w:val="28"/>
        </w:rPr>
      </w:pPr>
      <w:r>
        <w:rPr>
          <w:rFonts w:ascii="黑体;SimHei" w:hAnsi="黑体;SimHei" w:cs="黑体;SimHei" w:eastAsia="黑体;SimHei"/>
          <w:sz w:val="28"/>
          <w:szCs w:val="28"/>
        </w:rPr>
        <w:t>2 图像生成技术的发展</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图像生成是AIGC领域最基础也最具代表性的任务之一。自深度学习兴起以来，图像生成技术经历了从生成对抗网络到变分自编码器、自回归模型，再到扩散模型和基于Transformer的生成模型的演变。本节将沿着这一技术演化路径，对各类方法的核心思想、代表性工作和优劣特点进行系统梳理。</w:t>
      </w:r>
    </w:p>
    <w:p>
      <w:pPr>
        <w:jc w:val="left"/>
        <w:rPr>
          <w:rFonts w:ascii="黑体;SimHei" w:hAnsi="黑体;SimHei" w:cs="黑体;SimHei" w:eastAsia="黑体;SimHei"/>
          <w:sz w:val="21"/>
          <w:szCs w:val="21"/>
        </w:rPr>
      </w:pPr>
      <w:r>
        <w:rPr>
          <w:rFonts w:ascii="黑体;SimHei" w:hAnsi="黑体;SimHei" w:cs="黑体;SimHei" w:eastAsia="黑体;SimHei"/>
          <w:sz w:val="21"/>
          <w:szCs w:val="21"/>
        </w:rPr>
        <w:t>2.1 生成对抗网络</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生成对抗网络（GAN）由Goodfellow等人于2014年提出[1]，其核心思想是通过生成器（Generator）和判别器（Discriminator）之间的极小极大博弈来学习数据分布。生成器负责将随机噪声映射为假样本，判别器则试图区分真实样本和生成样本。在训练过程中，生成器不断提升其生成质量以欺骗判别器，而判别器则不断增强其鉴别能力。这一对抗训练机制巧妙地将生成建模问题转化为了一个动态博弈问题。</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GAN的早期工作主要包括DCGAN（Deep Convolutional GAN）[2]，它将卷积神经网络引入GAN框架，使得图像生成的分辨率和质量得到了显著提升。DCGAN提出了一系列重要的架构设计原则，如使用步长卷积替代池化层、在生成器和判别器中分别使用批量归一化等，这些设计至今仍对生成模型的设计具有指导意义。随后的WGAN（Wasserstein GAN）[3]从理论层面分析了GAN训练不稳定的根源，提出使用Wasserstein距离替代JS散度作为训练目标，有效缓解了模式崩塌（Mode Collapse）问题。</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2018年前后，StyleGAN系列方法[4]的出现标志着GAN在图像质量方面达到了新的高度。StyleGAN通过解耦潜在空间（Latent Space）的控制维度，实现了对生成图像中不同层次特征（如粗粒度姿态、中粒度面部特征、细粒度纹理）的精细控制。其后继版本StyleGAN2和StyleGAN3进一步解决了伪影问题并实现了更高质量的合成效果。与此同时，BigGAN[5]证明了在大规模数据上训练大规模GAN可以显著提升生成质量，成功在ImageNet数据集上生成了高分辨率、高多样性的图像，达到了当时的最佳水平。</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尽管GAN在图像生成领域取得了巨大成功，但其固有缺陷不容忽视。首先，对抗训练的动态平衡难以维护，容易出现训练不稳定甚至发散的情况。其次，GAN的模式崩塌问题意味着生成器可能只学会了数据分布中的部分模式，导致生成多样性不足。此外，GAN的评估指标（如FID、IS）与人类感知之间的相关性仍存在争议，且其生成过程缺乏细粒度的可控性，难以对生成图像的特定属性进行精准编辑。这些局限为后续涌现的扩散模型等技术路线提供了发展空间。</w:t>
      </w:r>
    </w:p>
    <w:p>
      <w:pPr>
        <w:jc w:val="left"/>
        <w:rPr>
          <w:rFonts w:ascii="黑体;SimHei" w:hAnsi="黑体;SimHei" w:cs="黑体;SimHei" w:eastAsia="黑体;SimHei"/>
          <w:sz w:val="21"/>
          <w:szCs w:val="21"/>
        </w:rPr>
      </w:pPr>
      <w:r>
        <w:rPr>
          <w:rFonts w:ascii="黑体;SimHei" w:hAnsi="黑体;SimHei" w:cs="黑体;SimHei" w:eastAsia="黑体;SimHei"/>
          <w:sz w:val="21"/>
          <w:szCs w:val="21"/>
        </w:rPr>
        <w:t>2.2 变分自编码器与自回归生成模型</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变分自编码器（Variational Autoencoder, VAE）[13]是另一类重要的深度生成模型。VAE通过编码器将输入数据映射到潜在空间中的概率分布，再通过解码器从潜在变量中重建数据。其训练目标是在最大化数据似然的同时，使潜在变量的后验分布与先验分布（通常为标准正态分布）之间的KL散度最小化。VAE的理论框架优美、训练稳定，但标准VAE生成的图像往往较为模糊，这主要是因为ELBO目标函数倾向于牺牲生成质量来确保潜在空间的规则性。</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VQ-VAE（Vector Quantized VAE）[14]及其改进版本VQ-VAE-2通过引入离散潜在表征显著提升了生成质量。VQ-VAE将连续潜在空间替换为离散的码本（Codebook），使模型能够以自回归的方式在离散潜在空间中进行生成。这一思路启发了后续许多重要的生成模型，包括DALL-E和VideoPoet等工作[15,16]。VQ-GAN则进一步将对抗训练引入VQ-VAE框架，通过添加判别器来提升解码器的重建质量。</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自回归生成模型（Autoregressive Models）则是从序列建模的角度处理图像生成问题。PixelRNN和PixelCNN[17]将图像像素视为一个序列，通过沿空间维度逐个预测像素的条件概率来生成图像。这类方法的优势在于其似然函数是精确可计算的（不同于GAN的隐式建模和VAE的变分近似），生成质量有保障。然而，逐像素生成的计算成本极高，尤其是在高分辨率图像上，其序列化的生成过程严重限制了实际应用效率。</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值得注意的是，自回归模型在文本到图像生成领域取得了重要突破。DALL-E[15]结合了VQ-VAE和自回归Transformer模型，在文本描述引导下生成图像，展示了自回归模型在跨模态生成中的潜力。其后续版本DALL-E 2和DALL-E 3则转向了基于扩散模型的架构，这一转变本身就说明了扩散模型在该任务上的显著优势。</w:t>
      </w:r>
    </w:p>
    <w:p>
      <w:pPr>
        <w:jc w:val="left"/>
        <w:rPr>
          <w:rFonts w:ascii="黑体;SimHei" w:hAnsi="黑体;SimHei" w:cs="黑体;SimHei" w:eastAsia="黑体;SimHei"/>
          <w:sz w:val="21"/>
          <w:szCs w:val="21"/>
        </w:rPr>
      </w:pPr>
      <w:r>
        <w:rPr>
          <w:rFonts w:ascii="黑体;SimHei" w:hAnsi="黑体;SimHei" w:cs="黑体;SimHei" w:eastAsia="黑体;SimHei"/>
          <w:sz w:val="21"/>
          <w:szCs w:val="21"/>
        </w:rPr>
        <w:t>2.3 扩散模型</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扩散模型（Diffusion Models）的理论基础可以追溯至非平衡热力学[18]。其基本思想包含两个过程：（1）前向扩散过程——逐步向数据中添加高斯噪声，直至数据完全变为随机噪声；（2）反向去噪过程——学习从噪声中逐步恢复原始数据。Sohl-Dickstein等人[18]率先提出了这一框架，但直到Ho等人提出的DDPM[6]才展示了其在图像生成上的实际潜力。</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DDPM的核心贡献在于提出了一个简化的训练目标和高效的参数化方法。具体而言，DDPM采用U-Net作为去噪网络，通过预测添加的噪声而非直接预测原始数据来进行训练，并在反向过程中使用重新参数化技巧来简化计算。此外，DDPM发现通过简单的均方误差（MSE）损失即可获得良好的生成质量，无需复杂的对抗训练。DDPM在ImageNet和CIFAR-10等基准上取得了与GAN相媲美甚至更优的生成效果。</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扩散模型的后续发展主要围绕以下几个方向展开。首先是采样加速，DDPM需要数千步迭代才能生成一张图像，严重限制了实际应用。DDIM（Denoising Diffusion Implicit Models）[19]通过将扩散过程重新定义为非马尔可夫过程，将采样步数减少了一个数量级。DPM-Solver和DPM-Solver++[20]则通过常微分方程求解器进一步将采样步数压缩至10-20步，同时几乎不损失生成质量。</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第二个重要方向是条件生成和引导机制。Classifier Guidance[7]通过利用分类器的梯度信号来引导扩散过程，实现了类别条件生成。Classifier-Free Guidance（CFG）[21]则在不依赖额外分类器的情况下，通过在训练和采样时混合条件和非条件分数估计来实现可控生成，已成为当前扩散模型中最广泛使用的引导方法。</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第三个也是最具影响力的方向是潜在扩散模型（Latent Diffusion Models, LDM）[8]。LDM提出在潜在空间而非像素空间中执行扩散过程，通过预训练的自编码器将图像压缩到低维潜在表征空间，在此空间中进行扩散和去噪。这一设计大幅降低了计算成本，使得在消费级GPU上运行高分辨率图像生成成为可能。基于LDM的Stable Diffusion系列模型成为开源社区中最受欢迎的文本到图像生成工具，围绕其构建了丰富的工具生态。此外，LDM引入了文本条件编码（通过CLIP或T5文本编码器），使文本到图像生成的质量和可控性达到了前所未有的水平。</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在这一时期，文本到图像生成领域涌现了多个重要系统。DALL-E 2[9]通过将CLIP图像嵌入作为扩散模型的中间表示，实现了高质量的文本引导生成。Imagen[10]则使用大型T5文本编码器替代了CLIP，并展示了纯文本编码器在文本理解方面的优越性。DALL-E 3进一步在前者基础上优化了文本描述标注质量与模型的对齐。这些系统的共同特征是将大规模的文本-图像预训练与扩散生成模型相结合，充分验证了数据规模+模型容量=生成质量这一扩展法则在视觉生成领域的适用性。</w:t>
      </w:r>
    </w:p>
    <w:p>
      <w:pPr>
        <w:jc w:val="left"/>
        <w:rPr>
          <w:rFonts w:ascii="黑体;SimHei" w:hAnsi="黑体;SimHei" w:cs="黑体;SimHei" w:eastAsia="黑体;SimHei"/>
          <w:sz w:val="21"/>
          <w:szCs w:val="21"/>
        </w:rPr>
      </w:pPr>
      <w:r>
        <w:rPr>
          <w:rFonts w:ascii="黑体;SimHei" w:hAnsi="黑体;SimHei" w:cs="黑体;SimHei" w:eastAsia="黑体;SimHei"/>
          <w:sz w:val="21"/>
          <w:szCs w:val="21"/>
        </w:rPr>
        <w:t>2.4 基于Transformer的生成模型与DiT</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长期以来，U-Net一直是扩散模型中占主导地位的骨干网络架构。然而，随着Transformer架构在自然语言处理、计算机视觉等多个领域的广泛成功，研究者开始探索将Transformer引入扩散模型的可能性。Peebles和Xie在2023年提出的DiT（Diffusion Transformer）[11]系统地研究了这一方向，并取得了令人瞩目的成果。</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DiT的核心思想是将潜在扩散模型中的U-Net替换为标准的Vision Transformer（ViT）架构。具体而言，DiT将潜在空间特征分割为固定大小的补丁（Patch），每个补丁作为Transformer的一个输入Token。对于扩散模型中特有的条件信息（如时间步和类别标签），DiT采用自适应层归一化（adaLN）机制进行注入。实验证明，adaLN不仅能够有效地将条件信息融入生成过程，还能通过残差连接的零初始化实现训练稳定性的提升。</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DiT最重要的发现是其良好的可扩展性（Scalability）。实验表明，随着模型参数量的增加（从DiT-S的33M参数到DiT-XL的675M参数）和计算量的增长（从0.4到119 GFLOPs），生成质量（FID指标）持续稳定地改善。这一特性与大型语言模型中的扩展法则高度一致，暗示着视觉生成领域可能具有类似的规模化潜力。在ImageNet 256x256和512x512的类别条件生成任务上，DiT-XL/2达到了当时最优的FID分数（2.27），充分证明了Transformer作为扩散模型骨干网络的有效性。</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继DiT之后，一系列相关工作进一步推动了该方向的发展。PixArt-alpha[22]通过结合DiT架构和高效训练策略（如渐进式训练、跨模态条件注入），大幅降低了训练成本。Playground v2和SDXL[23]则探索了在更大规模上训练基于Transformer或类似架构的扩散模型的可能性。MaskGIT[24]则从另一个角度探索了基于Transformer的生成范式，使用掩码预测替代了扩散过程的逐帧去噪。这些工作在本质上都体现了Transformer架构在处理视觉生成任务中的灵活性、统一性和可扩展性。</w:t>
      </w:r>
    </w:p>
    <w:p>
      <w:pPr>
        <w:spacing w:line="220" w:lineRule="exact"/>
        <w:jc w:val="left"/>
        <w:rPr>
          <w:rFonts w:ascii="黑体;SimHei" w:hAnsi="黑体;SimHei" w:cs="黑体;SimHei" w:eastAsia="黑体;SimHei"/>
          <w:sz w:val="28"/>
          <w:szCs w:val="28"/>
        </w:rPr>
      </w:pPr>
      <w:r>
        <w:rPr>
          <w:rFonts w:ascii="黑体;SimHei" w:hAnsi="黑体;SimHei" w:cs="黑体;SimHei" w:eastAsia="黑体;SimHei"/>
          <w:sz w:val="28"/>
          <w:szCs w:val="28"/>
        </w:rPr>
        <w:t>3 视频生成技术的发展</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视频生成是图像生成在时间维度上的自然延伸，但面临着比图像生成更为严峻的挑战。视频数据不仅需要保持每一帧的图像质量，还需要维持帧与帧之间的时间一致性、运动连贯性和物理合理性。此外，视频数据的高维特性带来了更大的计算和存储压力。本节将沿着与图像生成类似的技术演进脉络，回顾视频生成技术的发展历程。</w:t>
      </w:r>
    </w:p>
    <w:p>
      <w:pPr>
        <w:jc w:val="left"/>
        <w:rPr>
          <w:rFonts w:ascii="黑体;SimHei" w:hAnsi="黑体;SimHei" w:cs="黑体;SimHei" w:eastAsia="黑体;SimHei"/>
          <w:sz w:val="21"/>
          <w:szCs w:val="21"/>
        </w:rPr>
      </w:pPr>
      <w:r>
        <w:rPr>
          <w:rFonts w:ascii="黑体;SimHei" w:hAnsi="黑体;SimHei" w:cs="黑体;SimHei" w:eastAsia="黑体;SimHei"/>
          <w:sz w:val="21"/>
          <w:szCs w:val="21"/>
        </w:rPr>
        <w:t>3.1 基于GAN的视频生成方法</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早期的视频生成工作主要基于GAN框架。VGAN（Video GAN）[25]是这一方向的开创性工作，它将视频内容分解为静态背景和动态前景两部分，分别使用GAN进行建模和生成。TGAN（Temporal GAN）[26]则通过引入3D卷积和光流约束来捕捉视频中的时间动态，实现了端到端的视频生成。MoCoGAN[27]进一步发展了内容-运动解耦的思想，使用内容编码器处理空间信息、运动编码器处理时间动态，实现了灵活的视频生成控制。</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DVD-GAN和TripeD-GAN[28]进一步提升了生成视频的分辨率和时长。这些方法通过多尺度生成架构和时空注意力机制来增强生成效果，但受限于GAN固有的训练不稳定和模式崩塌问题，生成视频的复杂度和逼真度仍然有限。此外，基于GAN的视频生成方法在生成长序列时通常面临漂移问题——随着帧数增加，微小的帧间误差会逐渐累积，导致生成内容偏离合理轨迹。总体而言，GAN为视频生成提供了可行的初始框架，但其局限性表明需要更加适合的生成范式来应对视频生成的独特挑战。</w:t>
      </w:r>
    </w:p>
    <w:p>
      <w:pPr>
        <w:jc w:val="left"/>
        <w:rPr>
          <w:rFonts w:ascii="黑体;SimHei" w:hAnsi="黑体;SimHei" w:cs="黑体;SimHei" w:eastAsia="黑体;SimHei"/>
          <w:sz w:val="21"/>
          <w:szCs w:val="21"/>
        </w:rPr>
      </w:pPr>
      <w:r>
        <w:rPr>
          <w:rFonts w:ascii="黑体;SimHei" w:hAnsi="黑体;SimHei" w:cs="黑体;SimHei" w:eastAsia="黑体;SimHei"/>
          <w:sz w:val="21"/>
          <w:szCs w:val="21"/>
        </w:rPr>
        <w:t>3.2 基于扩散模型的视频生成</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扩散模型在图像生成上取得的显著成功自然激发了研究者在视频生成领域应用扩散模型的探索。基于扩散模型的视频生成方法大致可以分为两类：一类是直接从视频数据训练时空扩散模型，另一类是基于预训练的图像扩散模型进行时间维度的扩展。</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直接训练的时空扩散模型以Video Diffusion Models（VDM）[29]为代表。VDM将标准的图像扩散过程扩展到时空维度，使用3D U-Net作为去噪骨干网络，同时对空间和时间维度进行操作。其关键设计包括：使用3D卷积核替代2D卷积以同时捕捉空间和时间特征；在注意力机制中引入时空分解策略，先做空间自注意力，再做时间注意力。Imagen Video[30]进一步扩展了VDM的思路，引入了级联的时空超分辨率模块，能够生成1280x768分辨率的高清视频。</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另一类方法更加注重实际部署效率，通过在预训练的图像扩散模型基础上添加时间模块来实现视频生成能力。Make-A-Video[31]是这一方向的代表性工作，它通过向冻结的文本到图像模型中插入时空卷积和注意力层，使其具备视频生成能力。这种方法最大的优势在于能够充分利用大规模文本-图像数据中学到的知识，从而在一定程度上缓解了文本-视频配对数据稀缺的问题。</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Stable Video Diffusion（SVD）[32]进一步优化了这一策略，通过系统性的实验设计探索了将图像扩散模型转换为视频生成模型的最佳实践。SVD提出了一套完整的训练流程：首先使用大规模视频数据对模型进行视频域适应训练，然后在更高质量的数据上进行微调。此外，SVD引入了多视图和时间交叉注意力机制来增强帧间一致性，使其成为开源社区中最受欢迎的文本到视频模型之一。</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AnimateDiff[33]则提出了一种更为灵活的方案——通过向已有的Stable Diffusion模型中插入轻量级的时间适配器（Temporal Adapter），无需对整个模型进行重训练即可实现视频生成。这种模块化的设计使得社区可以基于各种个性化的Stable Diffusion检查点直接生成视频，极大地降低了视频生成的门槛和计算成本。AnimateDiff的框架也启发了大量后续的定制化和可控性研究。</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在控制能力方面，ControlVideo[34]借鉴了ControlNet的思想，通过引入条件控制网络实现了对视频生成中运动轨迹、深度结构、边缘信息等的精确控制。VideoComposer[35]则提出了更加统一的时空条件控制框架，支持同时使用文本、图像、深度图、姿态序列等多种模态的条件信息进行视频生成。</w:t>
      </w:r>
    </w:p>
    <w:p>
      <w:pPr>
        <w:jc w:val="left"/>
        <w:rPr>
          <w:rFonts w:ascii="黑体;SimHei" w:hAnsi="黑体;SimHei" w:cs="黑体;SimHei" w:eastAsia="黑体;SimHei"/>
          <w:sz w:val="21"/>
          <w:szCs w:val="21"/>
        </w:rPr>
      </w:pPr>
      <w:r>
        <w:rPr>
          <w:rFonts w:ascii="黑体;SimHei" w:hAnsi="黑体;SimHei" w:cs="黑体;SimHei" w:eastAsia="黑体;SimHei"/>
          <w:sz w:val="21"/>
          <w:szCs w:val="21"/>
        </w:rPr>
        <w:t>3.3 基于DiT的视频生成——从Sora到开源生态</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2024年初，OpenAI发布了Sora视频生成模型[12]，这不仅是视频生成领域的一次重大突破，更是对整个AIGC技术路线的一次深刻验证。Sora选择基于DiT架构而非传统的U-Net架构，从根本上改变了视频生成模型的设计哲学。Sora的关键技术选择包括：（1）使用时空补丁（Spacetime Patches）作为视频的统一表征——将视频和图像统一表示为一系列时空补丁序列，使得模型可以在不同分辨率、时长和宽高比的视频上进行训练和推理；（2）采用基于DiT的可扩展架构——通过Transformer的自注意力机制在全局范围内捕捉时空依赖关系；（3）大规模数据训练——Sora在大规模视频和图像数据上进行训练，展示了视频生成中的规模法则。</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Sora的出现对整个领域产生了深远影响。首先，它证明了基于Transformer的可扩展架构在视频生成中的巨大潜力，开启了继GAN和Diffusion之后的第三次范式转型。其次，Sora展现的涌现能力——如三维空间的连贯性、物体的长期存在性、与物理世界的近似一致性——暗示大规模视频生成模型可能具备隐式的世界模型（World Model）特征。此外，Sora的统一表征设计为构建通用的视觉生成模型提供了可行的技术方案。</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在Sora的推动下，开源社区迅速跟进，涌现了一批基于DiT的开源视频生成模型。Open-Sora[36]由ColossalAI社区开发，完整复现了Sora的技术方案，并提供了从数据预处理到模型训练的全流程开源实现。CogVideoX[37]由智谱AI发布，基于3D变分自编码器和专家Transformer架构，实现了高效的文本到视频生成。这些开源实现不仅验证了DiT架构在视频生成中的可行性和优势，也推动了社区对视频生成关键技术的深入理解和迭代优化。</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值得关注的是，在DiT架构下，视频和图像的建模趋于统一。无论是Sora提出的时空补丁统一表征，还是后续工作探索的统一DiT框架，都表明图像和视频生成可能走向统一的模型架构。这种统一趋势不仅降低了技术栈的复杂性，也有利于知识和数据的跨任务迁移。</w:t>
      </w:r>
    </w:p>
    <w:p>
      <w:pPr>
        <w:spacing w:line="220" w:lineRule="exact"/>
        <w:jc w:val="left"/>
        <w:rPr>
          <w:rFonts w:ascii="黑体;SimHei" w:hAnsi="黑体;SimHei" w:cs="黑体;SimHei" w:eastAsia="黑体;SimHei"/>
          <w:sz w:val="28"/>
          <w:szCs w:val="28"/>
        </w:rPr>
      </w:pPr>
      <w:r>
        <w:rPr>
          <w:rFonts w:ascii="黑体;SimHei" w:hAnsi="黑体;SimHei" w:cs="黑体;SimHei" w:eastAsia="黑体;SimHei"/>
          <w:sz w:val="28"/>
          <w:szCs w:val="28"/>
        </w:rPr>
        <w:t>4 方法比较与评价</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对上述各类方法进行系统性的比较分析，有助于深刻理解不同技术路线的优劣和适用场景。本文从生成质量、计算效率、可控性和可扩展性四个维度构建评价框架。</w:t>
      </w:r>
    </w:p>
    <w:p>
      <w:pPr>
        <w:jc w:val="left"/>
        <w:rPr>
          <w:rFonts w:ascii="黑体;SimHei" w:hAnsi="黑体;SimHei" w:cs="黑体;SimHei" w:eastAsia="黑体;SimHei"/>
          <w:sz w:val="21"/>
          <w:szCs w:val="21"/>
        </w:rPr>
      </w:pPr>
      <w:r>
        <w:rPr>
          <w:rFonts w:ascii="黑体;SimHei" w:hAnsi="黑体;SimHei" w:cs="黑体;SimHei" w:eastAsia="黑体;SimHei"/>
          <w:sz w:val="21"/>
          <w:szCs w:val="21"/>
        </w:rPr>
        <w:t>4.1 生成质量</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在图像生成领域，GAN在2010年代占据绝对主导地位，StyleGAN系列在面部生成等特定场景中达到了高度逼真的效果。然而，扩散模型在多样性、覆盖率和全局一致性方面具有显著优势。FID和IS等客观指标的评测结果一致表明，现代扩散模型（如DALL-E 3、Stable Diffusion 3）在各类基准上全面超越了GAN。DiT模型则通过更大规模的参数扩展进一步提升了生成质量的边界，尤其是在高分辨率、细粒度结构保持等方面。</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在视频生成领域，早期基于GAN的方法生成的视频通常分辨率低（通常低于256x256）、时长短（数秒）且时间一致性差。基于扩散模型的方法如VDM和SVD将生成分辨率提升至高清水平，帧间一致性也显著改善。Sora等基于DiT的方法则将视频生成的逼真度、时长和一致性推向了新高度，能够生成一分钟长度的高质量视频。</w:t>
      </w:r>
    </w:p>
    <w:p>
      <w:pPr>
        <w:jc w:val="left"/>
        <w:rPr>
          <w:rFonts w:ascii="黑体;SimHei" w:hAnsi="黑体;SimHei" w:cs="黑体;SimHei" w:eastAsia="黑体;SimHei"/>
          <w:sz w:val="21"/>
          <w:szCs w:val="21"/>
        </w:rPr>
      </w:pPr>
      <w:r>
        <w:rPr>
          <w:rFonts w:ascii="黑体;SimHei" w:hAnsi="黑体;SimHei" w:cs="黑体;SimHei" w:eastAsia="黑体;SimHei"/>
          <w:sz w:val="21"/>
          <w:szCs w:val="21"/>
        </w:rPr>
        <w:t>4.2 计算效率</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计算效率是制约生成模型实际应用的关键因素。GAN在推理时仅需一次前向传播即可生成样本，计算效率极高。扩散模型在推理时需要进行多步迭代去噪，计算成本显著高于GAN。DDIM和DPM-Solver等采样加速方法已将所需步数从数千步降至10-50步，但仍然低于GAN的效率。DiT架构由于采用Transformer，其推理效率与模型规模密切相关——大型DiT模型的推理成本仍然较高，但通过模型剪枝、量化、蒸馏等技术可以得到改善。</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在训练效率方面，GAN的对抗训练需要维持生成器和判别器的动态平衡，训练过程较为敏感。扩散模型的训练相对稳定，但需要大量迭代和GPU资源。LDM通过在潜在空间操作大幅降低了训练成本，使得在单卡GPU上微调模型成为可能。DiT的可扩展性意味着更大的模型需要更多的训练资源，但同时也带来更优的效果，这是一种以计算换取质量的权衡。</w:t>
      </w:r>
    </w:p>
    <w:p>
      <w:pPr>
        <w:jc w:val="left"/>
        <w:rPr>
          <w:rFonts w:ascii="黑体;SimHei" w:hAnsi="黑体;SimHei" w:cs="黑体;SimHei" w:eastAsia="黑体;SimHei"/>
          <w:sz w:val="21"/>
          <w:szCs w:val="21"/>
        </w:rPr>
      </w:pPr>
      <w:r>
        <w:rPr>
          <w:rFonts w:ascii="黑体;SimHei" w:hAnsi="黑体;SimHei" w:cs="黑体;SimHei" w:eastAsia="黑体;SimHei"/>
          <w:sz w:val="21"/>
          <w:szCs w:val="21"/>
        </w:rPr>
        <w:t>4.3 可控性</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可控性是衡量生成模型实用价值的重要维度。GAN通过潜在空间插值和解耦表示学习实现了一定程度的控制，但控制粒度有限。扩散模型通过文本引导（CFG、CLIP/T5编码器）实现了灵活的条件生成，ControlNet等条件注入框架进一步支持了空间结构约束。此外，基于扩散模型的图像编辑方法（如Inpainting、SDEdit）充分利用了扩散过程的中间表示，实现了高质量的局部编辑。</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在可控性方面，基于DiT的模型展现出独特优势。Transformer的自注意力机制天然支持灵活的上下文条件注入，无论是文本、图像还是其他模态的条件都可以通过Token序列的方式自然整合。Sora的统一时空补丁表征进一步扩展了可控性的边界，支持了多种分辨率和宽高比的生成。然而，当前可控生成仍然面临精细运动控制、多物体交互编辑等挑战。</w:t>
      </w:r>
    </w:p>
    <w:p>
      <w:pPr>
        <w:jc w:val="left"/>
        <w:rPr>
          <w:rFonts w:ascii="黑体;SimHei" w:hAnsi="黑体;SimHei" w:cs="黑体;SimHei" w:eastAsia="黑体;SimHei"/>
          <w:sz w:val="21"/>
          <w:szCs w:val="21"/>
        </w:rPr>
      </w:pPr>
      <w:r>
        <w:rPr>
          <w:rFonts w:ascii="黑体;SimHei" w:hAnsi="黑体;SimHei" w:cs="黑体;SimHei" w:eastAsia="黑体;SimHei"/>
          <w:sz w:val="21"/>
          <w:szCs w:val="21"/>
        </w:rPr>
        <w:t>4.4 可扩展性</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可扩展性是决定生成模型技术前景的关键因素。GAN的可扩展性受到对抗训练稳定性的限制——随着模型规模的增大，训练不稳定问题反而可能加剧。扩散模型的训练目标简单、训练过程稳定，天然具有良好的可扩展性。DiT则首次系统地验证了视觉生成模型中Transformer架构的可扩展性，显示出与语言模型类似的规模法则特征。</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这一发现具有深远的指导意义。如果视觉生成模型的性能确实随模型规模和计算量的增长而持续提升，那么更大的投入将对应着更好的效果。这解释了为什么Sora等大规模视频生成模型能够在质量上远超前人的工作——它们本质上是在执行一个以算力换质量的策略。同时，这也意味着开源社区通过模型压缩、知识蒸馏、高效架构设计等方法所争取的效率提升，对于技术民主化具有重要意义。</w:t>
      </w:r>
    </w:p>
    <w:p>
      <w:pPr>
        <w:jc w:val="left"/>
        <w:rPr>
          <w:rFonts w:ascii="黑体;SimHei" w:hAnsi="黑体;SimHei" w:cs="黑体;SimHei" w:eastAsia="黑体;SimHei"/>
          <w:sz w:val="21"/>
          <w:szCs w:val="21"/>
        </w:rPr>
      </w:pPr>
      <w:r>
        <w:rPr>
          <w:rFonts w:ascii="黑体;SimHei" w:hAnsi="黑体;SimHei" w:cs="黑体;SimHei" w:eastAsia="黑体;SimHei"/>
          <w:sz w:val="21"/>
          <w:szCs w:val="21"/>
        </w:rPr>
        <w:t>4.5 综合对比</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为了更清晰地展示各类方法的特点，下表从多个关键维度对代表性生成模型进行了综合对比。</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方法类别</w:t>
            </w:r>
          </w:p>
        </w:tc>
        <w:tc>
          <w:tcPr>
            <w:tcW w:type="dxa" w:w="1441"/>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生成质量</w:t>
            </w:r>
          </w:p>
        </w:tc>
        <w:tc>
          <w:tcPr>
            <w:tcW w:type="dxa" w:w="1441"/>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计算效率</w:t>
            </w:r>
          </w:p>
        </w:tc>
        <w:tc>
          <w:tcPr>
            <w:tcW w:type="dxa" w:w="1441"/>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可控性</w:t>
            </w:r>
          </w:p>
        </w:tc>
        <w:tc>
          <w:tcPr>
            <w:tcW w:type="dxa" w:w="1441"/>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可扩展性</w:t>
            </w:r>
          </w:p>
        </w:tc>
        <w:tc>
          <w:tcPr>
            <w:tcW w:type="dxa" w:w="1441"/>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代表工作</w:t>
            </w:r>
          </w:p>
        </w:tc>
      </w:tr>
      <w:tr>
        <w:tc>
          <w:tcPr>
            <w:tcW w:type="dxa" w:w="1441"/>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GAN</w:t>
            </w:r>
          </w:p>
        </w:tc>
        <w:tc>
          <w:tcPr>
            <w:tcW w:type="dxa" w:w="1441"/>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中等-高</w:t>
            </w:r>
          </w:p>
        </w:tc>
        <w:tc>
          <w:tcPr>
            <w:tcW w:type="dxa" w:w="1441"/>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高</w:t>
            </w:r>
          </w:p>
        </w:tc>
        <w:tc>
          <w:tcPr>
            <w:tcW w:type="dxa" w:w="1441"/>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低</w:t>
            </w:r>
          </w:p>
        </w:tc>
        <w:tc>
          <w:tcPr>
            <w:tcW w:type="dxa" w:w="1441"/>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低</w:t>
            </w:r>
          </w:p>
        </w:tc>
        <w:tc>
          <w:tcPr>
            <w:tcW w:type="dxa" w:w="1441"/>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StyleGAN/BigGAN</w:t>
            </w:r>
          </w:p>
        </w:tc>
      </w:tr>
      <w:tr>
        <w:tc>
          <w:tcPr>
            <w:tcW w:type="dxa" w:w="1441"/>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扩散模型(U-Net)</w:t>
            </w:r>
          </w:p>
        </w:tc>
        <w:tc>
          <w:tcPr>
            <w:tcW w:type="dxa" w:w="1441"/>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高</w:t>
            </w:r>
          </w:p>
        </w:tc>
        <w:tc>
          <w:tcPr>
            <w:tcW w:type="dxa" w:w="1441"/>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中</w:t>
            </w:r>
          </w:p>
        </w:tc>
        <w:tc>
          <w:tcPr>
            <w:tcW w:type="dxa" w:w="1441"/>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高</w:t>
            </w:r>
          </w:p>
        </w:tc>
        <w:tc>
          <w:tcPr>
            <w:tcW w:type="dxa" w:w="1441"/>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高</w:t>
            </w:r>
          </w:p>
        </w:tc>
        <w:tc>
          <w:tcPr>
            <w:tcW w:type="dxa" w:w="1441"/>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SD/DALL-E 2</w:t>
            </w:r>
          </w:p>
        </w:tc>
      </w:tr>
      <w:tr>
        <w:tc>
          <w:tcPr>
            <w:tcW w:type="dxa" w:w="1441"/>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DiT</w:t>
            </w:r>
          </w:p>
        </w:tc>
        <w:tc>
          <w:tcPr>
            <w:tcW w:type="dxa" w:w="1441"/>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极高</w:t>
            </w:r>
          </w:p>
        </w:tc>
        <w:tc>
          <w:tcPr>
            <w:tcW w:type="dxa" w:w="1441"/>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中-低</w:t>
            </w:r>
          </w:p>
        </w:tc>
        <w:tc>
          <w:tcPr>
            <w:tcW w:type="dxa" w:w="1441"/>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高</w:t>
            </w:r>
          </w:p>
        </w:tc>
        <w:tc>
          <w:tcPr>
            <w:tcW w:type="dxa" w:w="1441"/>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极高</w:t>
            </w:r>
          </w:p>
        </w:tc>
        <w:tc>
          <w:tcPr>
            <w:tcW w:type="dxa" w:w="1441"/>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DiT/PixArt</w:t>
            </w:r>
          </w:p>
        </w:tc>
      </w:tr>
      <w:tr>
        <w:tc>
          <w:tcPr>
            <w:tcW w:type="dxa" w:w="1441"/>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视频扩散模型</w:t>
            </w:r>
          </w:p>
        </w:tc>
        <w:tc>
          <w:tcPr>
            <w:tcW w:type="dxa" w:w="1441"/>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高</w:t>
            </w:r>
          </w:p>
        </w:tc>
        <w:tc>
          <w:tcPr>
            <w:tcW w:type="dxa" w:w="1441"/>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低</w:t>
            </w:r>
          </w:p>
        </w:tc>
        <w:tc>
          <w:tcPr>
            <w:tcW w:type="dxa" w:w="1441"/>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中</w:t>
            </w:r>
          </w:p>
        </w:tc>
        <w:tc>
          <w:tcPr>
            <w:tcW w:type="dxa" w:w="1441"/>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高</w:t>
            </w:r>
          </w:p>
        </w:tc>
        <w:tc>
          <w:tcPr>
            <w:tcW w:type="dxa" w:w="1441"/>
          </w:tcPr>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SVD/Sora</w:t>
            </w:r>
          </w:p>
        </w:tc>
      </w:tr>
    </w:tbl>
    <w:p>
      <w:pPr>
        <w:spacing w:line="220" w:lineRule="exact"/>
        <w:jc w:val="left"/>
        <w:rPr>
          <w:rFonts w:ascii="黑体;SimHei" w:hAnsi="黑体;SimHei" w:cs="黑体;SimHei" w:eastAsia="黑体;SimHei"/>
          <w:sz w:val="28"/>
          <w:szCs w:val="28"/>
        </w:rPr>
      </w:pPr>
      <w:r>
        <w:rPr>
          <w:rFonts w:ascii="黑体;SimHei" w:hAnsi="黑体;SimHei" w:cs="黑体;SimHei" w:eastAsia="黑体;SimHei"/>
          <w:sz w:val="28"/>
          <w:szCs w:val="28"/>
        </w:rPr>
        <w:t>5 关键挑战与未来方向</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尽管图像与视频生成技术在近年来取得了令人瞩目的进展，但当前仍面临一系列关键挑战，这些挑战也为未来研究指明了方向。</w:t>
      </w:r>
    </w:p>
    <w:p>
      <w:pPr>
        <w:jc w:val="left"/>
        <w:rPr>
          <w:rFonts w:ascii="黑体;SimHei" w:hAnsi="黑体;SimHei" w:cs="黑体;SimHei" w:eastAsia="黑体;SimHei"/>
          <w:sz w:val="21"/>
          <w:szCs w:val="21"/>
        </w:rPr>
      </w:pPr>
      <w:r>
        <w:rPr>
          <w:rFonts w:ascii="黑体;SimHei" w:hAnsi="黑体;SimHei" w:cs="黑体;SimHei" w:eastAsia="黑体;SimHei"/>
          <w:sz w:val="21"/>
          <w:szCs w:val="21"/>
        </w:rPr>
        <w:t>5.1 时序一致性与长视频生成</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时序一致性是视频生成最核心的技术挑战之一。当前主流方法在生成长视频时往往面临物体变形、背景闪烁、颜色抖动等问题。虽然Sora等前沿模型在短时视频生成上表现出色，但生成分钟级别的连贯视频仍然是一个尚未完全解决的问题。未来的可能研究方向包括：利用显式运动表示（如光流、轨迹）约束生成过程；引入3D几何先验来增强帧间一致性；研发更高效的长序列注意力机制以支持更长的上下文建模。</w:t>
      </w:r>
    </w:p>
    <w:p>
      <w:pPr>
        <w:jc w:val="left"/>
        <w:rPr>
          <w:rFonts w:ascii="黑体;SimHei" w:hAnsi="黑体;SimHei" w:cs="黑体;SimHei" w:eastAsia="黑体;SimHei"/>
          <w:sz w:val="21"/>
          <w:szCs w:val="21"/>
        </w:rPr>
      </w:pPr>
      <w:r>
        <w:rPr>
          <w:rFonts w:ascii="黑体;SimHei" w:hAnsi="黑体;SimHei" w:cs="黑体;SimHei" w:eastAsia="黑体;SimHei"/>
          <w:sz w:val="21"/>
          <w:szCs w:val="21"/>
        </w:rPr>
        <w:t>5.2 物理世界理解与合理性</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当前视频生成模型虽然在视觉质量上不断提升，但对物理世界规律的理解仍然有限。生成视频中经常出现违反物理常识的现象，如物体无故消失、重力方向错误、碰撞物理异常等。Sora在较大规模上体现出的涌现式物理一致性暗示着大规模模型可能通过隐式学习获得一定程度的物理世界知识，但这种知识仍然不可靠、不可控。将物理模拟先验、神经辐射场（NeRF）等三维表示融入生成过程，可能是提升物理合理性的有效途径。</w:t>
      </w:r>
    </w:p>
    <w:p>
      <w:pPr>
        <w:jc w:val="left"/>
        <w:rPr>
          <w:rFonts w:ascii="黑体;SimHei" w:hAnsi="黑体;SimHei" w:cs="黑体;SimHei" w:eastAsia="黑体;SimHei"/>
          <w:sz w:val="21"/>
          <w:szCs w:val="21"/>
        </w:rPr>
      </w:pPr>
      <w:r>
        <w:rPr>
          <w:rFonts w:ascii="黑体;SimHei" w:hAnsi="黑体;SimHei" w:cs="黑体;SimHei" w:eastAsia="黑体;SimHei"/>
          <w:sz w:val="21"/>
          <w:szCs w:val="21"/>
        </w:rPr>
        <w:t>5.3 计算效率与推理加速</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以DiT为代表的规模化架构虽然带来了质量提升，但计算成本的急剧膨胀同样令人担忧。推理加速技术的研究对实际部署至关重要。未来的研究方向包括：更高效的注意力机制变体（如线性注意力、Mamba等状态空间模型）；渐进式蒸馏和模型压缩技术；专用硬件和推理引擎的协同设计；以及探索替代扩散过程的新型生成范式（如一致性模型、流匹配等）。</w:t>
      </w:r>
    </w:p>
    <w:p>
      <w:pPr>
        <w:jc w:val="left"/>
        <w:rPr>
          <w:rFonts w:ascii="黑体;SimHei" w:hAnsi="黑体;SimHei" w:cs="黑体;SimHei" w:eastAsia="黑体;SimHei"/>
          <w:sz w:val="21"/>
          <w:szCs w:val="21"/>
        </w:rPr>
      </w:pPr>
      <w:r>
        <w:rPr>
          <w:rFonts w:ascii="黑体;SimHei" w:hAnsi="黑体;SimHei" w:cs="黑体;SimHei" w:eastAsia="黑体;SimHei"/>
          <w:sz w:val="21"/>
          <w:szCs w:val="21"/>
        </w:rPr>
        <w:t>5.4 可控生成与精细编辑</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尽管Sora等模型展示了对文本提示的出色跟随能力，但当前可控生成的粒度仍然有限。用户往往希望对生成视频中的特定物体、人物动作、摄像机运动等要素进行精确控制。未来的研究需要发展更加细粒度的条件控制机制，例如基于轨迹、姿态序列、布局图等的条件生成，以及基于时空编辑的局部修改方法。此外，将大语言模型和视觉语言模型的推理能力与生成模型结合，有望实现更高层次的理解驱动生成。</w:t>
      </w:r>
    </w:p>
    <w:p>
      <w:pPr>
        <w:jc w:val="left"/>
        <w:rPr>
          <w:rFonts w:ascii="黑体;SimHei" w:hAnsi="黑体;SimHei" w:cs="黑体;SimHei" w:eastAsia="黑体;SimHei"/>
          <w:sz w:val="21"/>
          <w:szCs w:val="21"/>
        </w:rPr>
      </w:pPr>
      <w:r>
        <w:rPr>
          <w:rFonts w:ascii="黑体;SimHei" w:hAnsi="黑体;SimHei" w:cs="黑体;SimHei" w:eastAsia="黑体;SimHei"/>
          <w:sz w:val="21"/>
          <w:szCs w:val="21"/>
        </w:rPr>
        <w:t>5.5 评估标准与基准</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当前视频生成领域的评估体系尚不完善。传统指标如FVD（Frechet Video Distance）、IS等与人类感知的相关性有限。对于视频时序一致性、物理合理性、叙事连贯性等更高层次的质量属性，尚缺乏公认的客观评测指标。发展面向视频生成的综合性评估框架，包括自动指标、对抗性测试、人类评价等多种评估方法，是推动该领域健康发展的重要基础性工作。</w:t>
      </w:r>
    </w:p>
    <w:p>
      <w:pPr>
        <w:jc w:val="left"/>
        <w:rPr>
          <w:rFonts w:ascii="黑体;SimHei" w:hAnsi="黑体;SimHei" w:cs="黑体;SimHei" w:eastAsia="黑体;SimHei"/>
          <w:sz w:val="21"/>
          <w:szCs w:val="21"/>
        </w:rPr>
      </w:pPr>
      <w:r>
        <w:rPr>
          <w:rFonts w:ascii="黑体;SimHei" w:hAnsi="黑体;SimHei" w:cs="黑体;SimHei" w:eastAsia="黑体;SimHei"/>
          <w:sz w:val="21"/>
          <w:szCs w:val="21"/>
        </w:rPr>
        <w:t>5.6 安全、伦理与版权</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图像与视频生成技术的快速发展也带来了严峻的安全与伦理挑战。深度伪造（Deepfake）视频的生成与传播可能被用于虚假信息扩散、身份盗用和欺诈等恶意目的。生成模型的训练数据集涉及大量网络爬取的图像和视频，其中可能包含受版权保护的内容，引发了关于知识产权和创作归属的激烈争议。未来的技术发展需要在模型架构中引入安全机制（如数字水印、内容指纹），配合法律法规的制定和完善，在技术创新与社会责任之间找到平衡。</w:t>
      </w:r>
    </w:p>
    <w:p>
      <w:pPr>
        <w:spacing w:line="220" w:lineRule="exact"/>
        <w:jc w:val="left"/>
        <w:rPr>
          <w:rFonts w:ascii="黑体;SimHei" w:hAnsi="黑体;SimHei" w:cs="黑体;SimHei" w:eastAsia="黑体;SimHei"/>
          <w:sz w:val="28"/>
          <w:szCs w:val="28"/>
        </w:rPr>
      </w:pPr>
      <w:r>
        <w:rPr>
          <w:rFonts w:ascii="黑体;SimHei" w:hAnsi="黑体;SimHei" w:cs="黑体;SimHei" w:eastAsia="黑体;SimHei"/>
          <w:sz w:val="28"/>
          <w:szCs w:val="28"/>
        </w:rPr>
        <w:t>6 结论</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本文对图像与视频生成技术的发展历程进行了系统性的回顾与分析。从2014年GAN的提出，到2020年扩散模型的崛起，再到2023年DiT的突破和2024年Sora的问世，这一领域在不到十年的时间内完成了三次重大的范式转型，每一次转型都伴随着生成质量的显著提升、技术范式的深刻变革和应用边界的持续拓展。</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从技术演进的角度来看，本文揭示了几条重要趋势。第一，生成模型的架构设计经历了从专有架构（如GAN的生成器-判别器框架、U-Net）到统一架构（Transformer）的收敛过程，这一趋势与自然语言处理领域的架构统一趋势高度一致。第二，规模法则（Scaling Law）被证明在视觉生成领域同样适用，更大的模型和更多的数据持续带来生成质量的提升，这将塑造该领域未来的研究范式和资源配置。第三，图像生成和视频生成正在走向统一框架，以DiT为代表的时空联合建模架构为构建通用视觉生成模型提供了可行方案。</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展望未来，图像与视频生成技术有望向更长的时长体验、更高的物理合理性、更精细的用户可控性和更完善的安全机制方向发展。同时，多模态融合（文本、图像、视频、3D、音频的联合生成与理解）以及生成模型与推理模型、世界模型的融合将为AIGC带来新的能力维度。在技术快速演进的同时，我们也应保持对技术风险的清醒认识，推动负责任的人工智能发展。</w:t>
      </w:r>
    </w:p>
    <w:p>
      <w:pPr>
        <w:jc w:val="left"/>
        <w:rPr>
          <w:rFonts w:ascii="黑体;SimHei" w:hAnsi="黑体;SimHei" w:cs="黑体;SimHei" w:eastAsia="黑体;SimHei"/>
          <w:sz w:val="21"/>
          <w:szCs w:val="21"/>
          <w:b/>
        </w:rPr>
      </w:pPr>
      <w:r>
        <w:rPr>
          <w:rFonts w:ascii="黑体;SimHei" w:hAnsi="黑体;SimHei" w:cs="黑体;SimHei" w:eastAsia="黑体;SimHei"/>
          <w:sz w:val="21"/>
          <w:szCs w:val="21"/>
          <w:b/>
        </w:rPr>
        <w:t>参考文献</w:t>
      </w:r>
    </w:p>
    <w:p>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[1] Goodfellow I, Pouget-Abadie J, Mirza M, et al. Generative adversarial nets[C]. Advances in Neural Information Processing Systems, 2014, 27: 2672-2680.</w:t>
      </w:r>
    </w:p>
    <w:p>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[2] Radford A, Metz L, Chintala S. Unsupervised representation learning with deep convolutional generative adversarial networks[C]. International Conference on Learning Representations, 2016.</w:t>
      </w:r>
    </w:p>
    <w:p>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[3] Arjovsky M, Chintala S, Bottou L. Wasserstein generative adversarial networks[C]. International Conference on Machine Learning, 2017: 214-223.</w:t>
      </w:r>
    </w:p>
    <w:p>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[4] Karras T, Laine S, Aila T. A style-based generator architecture for generative adversarial networks[C]. IEEE/CVF Conference on Computer Vision and Pattern Recognition, 2019: 4401-4410.</w:t>
      </w:r>
    </w:p>
    <w:p>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[5] Brock A, Donahue J, Simonyan K. Large scale GAN training for high fidelity natural image synthesis[C]. International Conference on Learning Representations, 2019.</w:t>
      </w:r>
    </w:p>
    <w:p>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[6] Ho J, Jain A, Abbeel P. Denoising diffusion probabilistic models[C]. Advances in Neural Information Processing Systems, 2020, 33: 6840-6851.</w:t>
      </w:r>
    </w:p>
    <w:p>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[7] Dhariwal P, Nichol A. Diffusion models beat GANs on image synthesis[C]. Advances in Neural Information Processing Systems, 2021, 34: 8780-8794.</w:t>
      </w:r>
    </w:p>
    <w:p>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[8] Rombach R, Blattmann A, Lorenz D, et al. High-resolution image synthesis with latent diffusion models[C]. IEEE/CVF Conference on Computer Vision and Pattern Recognition, 2022: 10684-10695.</w:t>
      </w:r>
    </w:p>
    <w:p>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[9] Ramesh A, Dhariwal P, Nichol A, et al. Hierarchical text-conditional image generation with CLIP latents[J]. arXiv preprint arXiv:2204.06125, 2022.</w:t>
      </w:r>
    </w:p>
    <w:p>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[10] Saharia C, Chan W, Saxena S, et al. Photorealistic text-to-image diffusion models with deep language understanding[C]. Advances in Neural Information Processing Systems, 2022, 35: 36479-36494.</w:t>
      </w:r>
    </w:p>
    <w:p>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[11] Peebles W, Xie S. Scalable diffusion models with transformers[C]. IEEE/CVF International Conference on Computer Vision, 2023: 4195-4205.</w:t>
      </w:r>
    </w:p>
    <w:p>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[12] Brooks T, Peebles B, Holmes C, et al. Video generation models as world simulators[J]. OpenAI Technical Report, 2024.</w:t>
      </w:r>
    </w:p>
    <w:p>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[13] Kingma D P, Welling M. Auto-encoding variational Bayes[C]. International Conference on Learning Representations, 2014.</w:t>
      </w:r>
    </w:p>
    <w:p>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[14] van den Oord A, Vinyals O, Kavukcuoglu K. Neural discrete representation learning[C]. Advances in Neural Information Processing Systems, 2017, 30: 6306-6315.</w:t>
      </w:r>
    </w:p>
    <w:p>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[15] Ramesh A, Pavlov M, Goh G, et al. Zero-shot text-to-image generation[C]. International Conference on Machine Learning, 2021: 8821-8831.</w:t>
      </w:r>
    </w:p>
    <w:p>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[16] Kondratyuk D, Yu L, Gu X, et al. VideoPoet: A large language model for zero-shot video generation[J]. arXiv preprint arXiv:2312.14125, 2023.</w:t>
      </w:r>
    </w:p>
    <w:p>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[17] van den Oord A, Kalchbrenner N, Vinyals O, et al. Conditional image generation with PixelCNN decoders[C]. Advances in Neural Information Processing Systems, 2016, 29: 4797-4805.</w:t>
      </w:r>
    </w:p>
    <w:p>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[18] Sohl-Dickstein J, Weiss E A, Maheswaranathan N, et al. Deep unsupervised learning using nonequilibrium thermodynamics[C]. International Conference on Machine Learning, 2015: 2256-2265.</w:t>
      </w:r>
    </w:p>
    <w:p>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[19] Song J, Meng C, Ermon S. Denoising diffusion implicit models[C]. International Conference on Learning Representations, 2021.</w:t>
      </w:r>
    </w:p>
    <w:p>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[20] Lu C, Zhou Y, Bao F, et al. DPM-Solver: A fast ODE solver for diffusion model sampling in around 10 steps[C]. Advances in Neural Information Processing Systems, 2022, 35: 5775-5787.</w:t>
      </w:r>
    </w:p>
    <w:p>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[21] Ho J, Salimans T. Classifier-free diffusion guidance[C]. NeurIPS 2021 Workshop on Deep Generative Models and Downstream Applications, 2021.</w:t>
      </w:r>
    </w:p>
    <w:p>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[22] Chen J, Yu J, Ge C, et al. PixArt-alpha: Fast training of diffusion transformer for photorealistic text-to-image synthesis[C]. International Conference on Learning Representations, 2024.</w:t>
      </w:r>
    </w:p>
    <w:p>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[23] Podell D, English Z, Lacey K, et al. SDXL: Improving latent diffusion models for high-resolution image synthesis[C]. International Conference on Learning Representations, 2024.</w:t>
      </w:r>
    </w:p>
    <w:p>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[24] Chang H, Zhang H, Jiang L, et al. MaskGIT: Masked generative image transformer[C]. IEEE/CVF Conference on Computer Vision and Pattern Recognition, 2022: 11315-11325.</w:t>
      </w:r>
    </w:p>
    <w:p>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[25] Vondrick C, Pirsiavash H, Torralba A. Generating videos with scene dynamics[C]. Advances in Neural Information Processing Systems, 2016, 29: 613-621.</w:t>
      </w:r>
    </w:p>
    <w:p>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[26] Saito M, Matsumoto E, Saito S. Temporal generative adversarial nets with singular value clipping[C]. IEEE International Conference on Computer Vision, 2017: 2830-2839.</w:t>
      </w:r>
    </w:p>
    <w:p>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[27] Tulyakov S, Liu M Y, Yang X, et al. MoCoGAN: Decomposing motion and content for video generation[C]. IEEE/CVF Conference on Computer Vision and Pattern Recognition, 2018: 1526-1535.</w:t>
      </w:r>
    </w:p>
    <w:p>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[28] Clark A, Donahue J, Simonyan K. Adversarial video generation on complex datasets[J]. arXiv preprint arXiv:1907.06571, 2019.</w:t>
      </w:r>
    </w:p>
    <w:p>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[29] Ho J, Salimans T, Gritsenko A, et al. Video diffusion models[C]. Advances in Neural Information Processing Systems, 2022, 35: 8633-8646.</w:t>
      </w:r>
    </w:p>
    <w:p>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[30] Ho J, Chan W, Saharia C, et al. Imagen Video: High definition video generation with diffusion models[J]. arXiv preprint arXiv:2210.02303, 2022.</w:t>
      </w:r>
    </w:p>
    <w:p>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[31] Singer U, Polyak A, Hayes T, et al. Make-A-Video: Text-to-video generation without text-video data[C]. International Conference on Learning Representations, 2023.</w:t>
      </w:r>
    </w:p>
    <w:p>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[32] Blattmann A, Dockhorn T, Kulal S, et al. Stable video diffusion: Scaling latent video diffusion models to large datasets[J]. arXiv preprint arXiv:2311.15127, 2023.</w:t>
      </w:r>
    </w:p>
    <w:p>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[33] Guo Y, Yang C, Rao A, et al. AnimateDiff: Animate your personalized text-to-image diffusion models without specific tuning[C]. International Conference on Learning Representations, 2024.</w:t>
      </w:r>
    </w:p>
    <w:p>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[34] Zhang Z, Wu Y, Zeng Z, et al. ControlVideo: Training-free controllable text-to-video generation[J]. arXiv preprint arXiv:2305.13077, 2023.</w:t>
      </w:r>
    </w:p>
    <w:p>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[35] Wang X, Yuan H, Zhang S, et al. VideoComposer: Compositional video synthesis with motion controllability[C]. Advances in Neural Information Processing Systems, 2023, 36.</w:t>
      </w:r>
    </w:p>
    <w:p>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[36] Zheng Z, Peng X, Yang T, et al. Open-Sora: Democratizing efficient video production for all[J]. arXiv preprint arXiv:2412.08074, 2024.</w:t>
      </w:r>
    </w:p>
    <w:p>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[37] Yang Z, Teng J, Zheng W, et al. CogVideoX: Text-to-video diffusion models with an expert transformer[J]. arXiv preprint arXiv:2408.06072, 2024.</w:t>
      </w:r>
    </w:p>
    <w:sectPr w:rsidR="00FC693F" w:rsidRPr="0006063C" w:rsidSect="00034616">
      <w:pgSz w:w="11906" w:h="16838"/>
      <w:pgMar w:top="1474" w:right="1134" w:bottom="1474" w:left="1134" w:header="964" w:footer="96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Liberation Serif"/>
  <w:font w:name="宋体"/>
  <w:font w:name="OpenSymbol"/>
  <w:font w:name="Monotype Sorts"/>
  <w:font w:name="DejaVu Sans"/>
  <w:font w:name="黑体"/>
  <w:font w:name="楷体_GB2312"/>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
    <w:lvl w:ilvl="0">
      <w:start w:val="1"/>
      <w:numFmt w:val="none"/>
      <w:lvlText w:val="None"/>
      <w:lvlJc w:val="left"/>
      <w:pPr>
        <w:ind w:left="0" w:hanging="0"/>
      </w:pPr>
    </w:lvl>
    <w:lvl w:ilvl="1">
      <w:start w:val="1"/>
      <w:numFmt w:val="none"/>
      <w:lvlText w:val="None"/>
      <w:lvlJc w:val="left"/>
      <w:pPr>
        <w:ind w:left="0" w:hanging="0"/>
      </w:pPr>
    </w:lvl>
    <w:lvl w:ilvl="2">
      <w:start w:val="1"/>
      <w:numFmt w:val="none"/>
      <w:lvlText w:val="None"/>
      <w:lvlJc w:val="left"/>
      <w:pPr>
        <w:ind w:left="0" w:hanging="0"/>
      </w:pPr>
    </w:lvl>
    <w:lvl w:ilvl="3">
      <w:start w:val="1"/>
      <w:numFmt w:val="none"/>
      <w:lvlText w:val="None"/>
      <w:lvlJc w:val="left"/>
      <w:pPr>
        <w:ind w:left="0" w:hanging="0"/>
      </w:pPr>
    </w:lvl>
    <w:lvl w:ilvl="4">
      <w:start w:val="1"/>
      <w:numFmt w:val="none"/>
      <w:lvlText w:val="None"/>
      <w:lvlJc w:val="left"/>
      <w:pPr>
        <w:ind w:left="0" w:hanging="0"/>
      </w:pPr>
    </w:lvl>
    <w:lvl w:ilvl="5">
      <w:start w:val="1"/>
      <w:numFmt w:val="none"/>
      <w:lvlText w:val="None"/>
      <w:lvlJc w:val="left"/>
      <w:pPr>
        <w:ind w:left="0" w:hanging="0"/>
      </w:pPr>
    </w:lvl>
    <w:lvl w:ilvl="6">
      <w:start w:val="1"/>
      <w:numFmt w:val="none"/>
      <w:lvlText w:val="None"/>
      <w:lvlJc w:val="left"/>
      <w:pPr>
        <w:ind w:left="0" w:hanging="0"/>
      </w:pPr>
    </w:lvl>
    <w:lvl w:ilvl="7">
      <w:start w:val="1"/>
      <w:numFmt w:val="none"/>
      <w:lvlText w:val="None"/>
      <w:lvlJc w:val="left"/>
      <w:pPr>
        <w:ind w:left="0" w:hanging="0"/>
      </w:pPr>
    </w:lvl>
    <w:lvl w:ilvl="8">
      <w:start w:val="1"/>
      <w:numFmt w:val="none"/>
      <w:lvlText w:val="None"/>
      <w:lvlJc w:val="left"/>
      <w:pPr>
        <w:ind w:left="0" w:hanging="0"/>
      </w:pPr>
    </w:lvl>
  </w:abstractNum>
  <w:abstractNum w:abstractNumId="2">
    <w:lvl w:ilvl="0">
      <w:start w:val="1"/>
      <w:numFmt w:val="decimal"/>
      <w:lvlText w:val="%1"/>
      <w:lvlJc w:val="left"/>
      <w:pPr>
        <w:ind w:left="420" w:hanging="420"/>
      </w:pPr>
    </w:lvl>
  </w:abstractNum>
  <w:abstractNum w:abstractNumId="3">
    <w:lvl w:ilvl="0">
      <w:start w:val="1"/>
      <w:numFmt w:val="decimal"/>
      <w:lvlText w:val="%1  "/>
      <w:lvlJc w:val="left"/>
      <w:pPr>
        <w:ind w:left="0" w:hanging="0"/>
      </w:pPr>
      <w:rPr>
        <w:rFonts w:ascii="Times New Roman" w:hAnsi="Times New Roman" w:cs="Times New Roman"/>
        <w:sz w:val="21"/>
      </w:rPr>
    </w:lvl>
    <w:lvl w:ilvl="1">
      <w:start w:val="1"/>
      <w:numFmt w:val="decimal"/>
      <w:lvlText w:val="%1.%2  "/>
      <w:lvlJc w:val="left"/>
      <w:pPr>
        <w:ind w:left="0" w:hanging="0"/>
      </w:pPr>
      <w:rPr>
        <w:rFonts w:ascii="Times New Roman" w:hAnsi="Times New Roman" w:cs="Times New Roman"/>
        <w:sz w:val="18"/>
      </w:rPr>
    </w:lvl>
    <w:lvl w:ilvl="2">
      <w:start w:val="1"/>
      <w:numFmt w:val="decimal"/>
      <w:lvlText w:val="%1.%2.%3  "/>
      <w:lvlJc w:val="left"/>
      <w:pPr>
        <w:ind w:left="0" w:hanging="0"/>
      </w:pPr>
      <w:rPr>
        <w:rFonts w:ascii="Times New Roman" w:hAnsi="Times New Roman" w:cs="Times New Roman"/>
        <w:sz w:val="18"/>
      </w:rPr>
    </w:lvl>
    <w:lvl w:ilvl="3">
      <w:start w:val="1"/>
      <w:numFmt w:val="decimal"/>
      <w:lvlText w:val="%1.%2.%3.%4  "/>
      <w:lvlJc w:val="left"/>
      <w:pPr>
        <w:ind w:left="0" w:hanging="0"/>
      </w:pPr>
      <w:rPr>
        <w:rFonts w:ascii="Times New Roman" w:hAnsi="Times New Roman" w:cs="Times New Roman"/>
        <w:sz w:val="18"/>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lvl w:ilvl="0">
      <w:start w:val="1"/>
      <w:numFmt w:val="decimal"/>
      <w:lvlText w:val="[%1]  "/>
      <w:lvlJc w:val="right"/>
      <w:pPr>
        <w:ind w:left="419" w:hanging="79"/>
      </w:pPr>
      <w:rPr>
        <w:rFonts w:ascii="Times New Roman" w:hAnsi="Times New Roman" w:cs="Times New Roman"/>
        <w:sz w:val="15"/>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Liberation Serif" w:hAnsi="Liberation Serif" w:cs="Liberation Serif" w:eastAsia="Noto Serif CJK SC"/>
        <w:sz w:val="24"/>
        <w:szCs w:val="24"/>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pPr>
      <w:widowControl/>
      <w:spacing w:line="280" w:lineRule="atLeast"/>
      <w:ind w:hanging="546" w:left="546"/>
      <w:jc w:val="left"/>
    </w:pPr>
    <w:rPr>
      <w:rFonts w:ascii="Times New Roman" w:hAnsi="Times New Roman" w:cs="Times New Roman" w:eastAsia="宋体;SimSun"/>
      <w:sz w:val="15"/>
      <w:szCs w:val="15"/>
      <w:color w:val="auto"/>
    </w:rPr>
  </w:style>
  <w:style w:type="paragraph" w:styleId="Header">
    <w:basedOn w:val="Normal"/>
    <w:pPr>
      <w:jc w:val="center"/>
    </w:pPr>
  </w:style>
  <w:style w:type="character" w:customStyle="1" w:styleId="HeaderChar">
    <w:name w:val="Header Char"/>
    <w:basedOn w:val="DefaultParagraphFont"/>
    <w:link w:val="Header"/>
    <w:uiPriority w:val="99"/>
    <w:rsid w:val="00E618BF"/>
  </w:style>
  <w:style w:type="paragraph" w:styleId="Footer">
    <w:basedOn w:val="Normal"/>
    <w:pPr>
      <w:spacing w:line="240" w:lineRule="atLeast"/>
      <w:jc w:val="left"/>
    </w:pPr>
    <w:rPr>
      <w:rFonts w:eastAsia="·s²Ó©úÅé;Malgun Gothic Semilight"/>
    </w:rPr>
  </w:style>
  <w:style w:type="character" w:customStyle="1" w:styleId="FooterChar">
    <w:name w:val="Footer Char"/>
    <w:basedOn w:val="DefaultParagraphFont"/>
    <w:link w:val="Footer"/>
    <w:uiPriority w:val="99"/>
    <w:rsid w:val="00E618BF"/>
  </w:style>
  <w:style w:type="paragraph" w:styleId="Heading1">
    <w:basedOn w:val="Normal"/>
    <w:next w:val="TextBody"/>
    <w:pPr>
      <w:keepNext/>
      <w:spacing w:before="160" w:after="160"/>
      <w:jc w:val="left"/>
      <w:outlineLvl w:val="0"/>
    </w:pPr>
    <w:rPr>
      <w:rFonts w:eastAsia="黑体;SimHei"/>
      <w:sz w:val="28"/>
      <w:szCs w:val="28"/>
    </w:rPr>
  </w:style>
  <w:style w:type="paragraph" w:styleId="Heading2">
    <w:basedOn w:val="Normal"/>
    <w:next w:val="TextBody"/>
    <w:pPr>
      <w:keepNext/>
      <w:spacing w:before="78" w:after="78"/>
      <w:ind w:hanging="0" w:left="0"/>
      <w:jc w:val="left"/>
      <w:outlineLvl w:val="1"/>
    </w:pPr>
    <w:rPr>
      <w:rFonts w:eastAsia="黑体;SimHei"/>
      <w:sz w:val="21"/>
      <w:szCs w:val="21"/>
    </w:rPr>
  </w:style>
  <w:style w:type="paragraph" w:styleId="Heading3">
    <w:basedOn w:val="Normal"/>
    <w:next w:val="TextBody"/>
    <w:pPr>
      <w:keepNext/>
      <w:jc w:val="left"/>
      <w:outlineLvl w:val="2"/>
    </w:pPr>
    <w:rPr>
      <w:sz w:val="21"/>
      <w:szCs w:val="21"/>
      <w:color w:val="FF0000"/>
    </w:rPr>
  </w:style>
  <w:style w:type="paragraph" w:styleId="Heading4">
    <w:basedOn w:val="Normal"/>
    <w:next w:val="Normal"/>
    <w:pPr>
      <w:keepNext/>
      <w:jc w:val="left"/>
      <w:outlineLvl w:val="3"/>
    </w:pPr>
    <w:rPr>
      <w:rFonts w:ascii="Arial" w:hAnsi="Arial" w:cs="Arial" w:eastAsia="黑体;SimHei"/>
    </w:rPr>
  </w:style>
  <w:style w:type="paragraph" w:styleId="Heading5">
    <w:basedOn w:val="Normal"/>
    <w:next w:val="Normal"/>
    <w:pPr>
      <w:keepNext/>
      <w:spacing w:before="280" w:after="290" w:line="374" w:lineRule="auto"/>
      <w:outlineLvl w:val="4"/>
    </w:pPr>
    <w:rPr>
      <w:sz w:val="28"/>
      <w:b/>
    </w:rPr>
  </w:style>
  <w:style w:type="paragraph" w:styleId="Heading6">
    <w:basedOn w:val="Normal"/>
    <w:next w:val="Normal"/>
    <w:pPr>
      <w:keepNext/>
      <w:spacing w:before="240" w:after="64"/>
      <w:jc w:val="left"/>
      <w:outlineLvl w:val="5"/>
    </w:pPr>
  </w:style>
  <w:style w:type="paragraph" w:styleId="Heading7">
    <w:basedOn w:val="Normal"/>
    <w:next w:val="Normal"/>
    <w:pPr>
      <w:keepNext/>
      <w:spacing w:before="240" w:after="64" w:line="319" w:lineRule="auto"/>
      <w:outlineLvl w:val="6"/>
    </w:pPr>
    <w:rPr>
      <w:sz w:val="24"/>
      <w:b/>
    </w:rPr>
  </w:style>
  <w:style w:type="paragraph" w:styleId="Heading8">
    <w:basedOn w:val="Normal"/>
    <w:next w:val="Normal"/>
    <w:pPr>
      <w:keepNext/>
      <w:spacing w:before="240" w:after="64" w:line="319" w:lineRule="auto"/>
      <w:outlineLvl w:val="7"/>
    </w:pPr>
    <w:rPr>
      <w:rFonts w:ascii="Arial" w:hAnsi="Arial" w:cs="Arial" w:eastAsia="黑体;SimHei"/>
      <w:sz w:val="24"/>
    </w:rPr>
  </w:style>
  <w:style w:type="paragraph" w:styleId="Heading9">
    <w:basedOn w:val="Normal"/>
    <w:next w:val="Normal"/>
    <w:pPr>
      <w:keepNext/>
      <w:spacing w:before="240" w:after="64" w:line="319" w:lineRule="auto"/>
      <w:outlineLvl w:val="8"/>
    </w:pPr>
    <w:rPr>
      <w:rFonts w:ascii="Arial" w:hAnsi="Arial" w:cs="Arial" w:eastAsia="黑体;SimHe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basedOn w:val="Normal"/>
    <w:next w:val="Style13"/>
    <w:pPr>
      <w:spacing w:before="624" w:after="0"/>
      <w:ind w:firstLine="879"/>
      <w:jc w:val="center"/>
      <w:outlineLvl w:val="0"/>
    </w:pPr>
    <w:rPr>
      <w:rFonts w:eastAsia="黑体;SimHei"/>
      <w:sz w:val="44"/>
      <w:szCs w:val="4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basedOn w:val="TextBody"/>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basedOn w:val="Normal"/>
    <w:pPr>
      <w:spacing w:before="120" w:after="120"/>
    </w:pPr>
    <w:rPr>
      <w:sz w:val="24"/>
      <w:szCs w:val="24"/>
      <w:i/>
    </w:rPr>
  </w:style>
  <w:style w:type="character" w:styleId="Strong">
    <w:name w:val="Strong"/>
    <w:basedOn w:val="DefaultParagraphFont"/>
    <w:uiPriority w:val="22"/>
    <w:qFormat/>
    <w:rsid w:val="00FC693F"/>
    <w:rPr>
      <w:b/>
      <w:bCs/>
    </w:rPr>
  </w:style>
  <w:style w:type="character" w:styleId="Emphasis">
    <w:basedOn w:val="Style5"/>
    <w:rPr>
      <w:color w:val="CC0033"/>
      <w:b/>
      <w:i/>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eading">
    <w:basedOn w:val="Normal"/>
    <w:next w:val="TextBody"/>
    <w:pPr>
      <w:keepNext/>
      <w:spacing w:before="240" w:after="120"/>
    </w:pPr>
    <w:rPr>
      <w:rFonts w:ascii="DejaVu Sans;Arial" w:hAnsi="DejaVu Sans;Arial" w:cs="DejaVu Sans;Arial" w:eastAsia="DejaVu Sans;Arial"/>
      <w:sz w:val="28"/>
      <w:szCs w:val="28"/>
    </w:rPr>
  </w:style>
  <w:style w:type="paragraph" w:styleId="TextBody">
    <w:basedOn w:val="Normal"/>
    <w:pPr>
      <w:ind w:firstLine="420"/>
    </w:pPr>
    <w:rPr>
      <w:sz w:val="21"/>
      <w:szCs w:val="21"/>
    </w:rPr>
  </w:style>
  <w:style w:type="paragraph" w:styleId="Index">
    <w:basedOn w:val="Normal"/>
  </w:style>
  <w:style w:type="paragraph" w:styleId="Style9">
    <w:basedOn w:val="Normal"/>
    <w:next w:val="Normal"/>
    <w:pPr>
      <w:spacing w:before="152" w:after="160"/>
    </w:pPr>
    <w:rPr>
      <w:rFonts w:ascii="Arial" w:hAnsi="Arial" w:cs="Arial" w:eastAsia="黑体;SimHei"/>
    </w:rPr>
  </w:style>
  <w:style w:type="paragraph" w:styleId="Style10">
    <w:basedOn w:val="Normal"/>
  </w:style>
  <w:style w:type="paragraph" w:styleId="Style11">
    <w:basedOn w:val="Normal"/>
    <w:next w:val="TextBody"/>
    <w:pPr>
      <w:keepNext/>
      <w:spacing w:before="240" w:after="120"/>
    </w:pPr>
    <w:rPr>
      <w:rFonts w:ascii="DejaVu Sans;Arial" w:hAnsi="DejaVu Sans;Arial" w:cs="DejaVu Sans;Arial" w:eastAsia="DejaVu Sans;Arial"/>
      <w:sz w:val="28"/>
      <w:szCs w:val="28"/>
    </w:rPr>
  </w:style>
  <w:style w:type="paragraph" w:styleId="HeaderandFooter">
    <w:basedOn w:val="Normal"/>
  </w:style>
  <w:style w:type="paragraph" w:styleId="Style12">
    <w:pPr>
      <w:widowControl/>
      <w:ind w:left="105" w:hanging="105"/>
      <w:jc w:val="center"/>
    </w:pPr>
    <w:rPr>
      <w:rFonts w:ascii="Times New Roman" w:hAnsi="Times New Roman" w:cs="Times New Roman" w:eastAsia="宋体;SimSun"/>
      <w:sz w:val="15"/>
      <w:szCs w:val="15"/>
      <w:color w:val="auto"/>
    </w:rPr>
  </w:style>
  <w:style w:type="paragraph" w:styleId="Style13">
    <w:basedOn w:val="Normal"/>
    <w:next w:val="Style12"/>
    <w:pPr>
      <w:spacing w:before="312" w:after="312" w:line="280" w:lineRule="atLeast"/>
      <w:jc w:val="center"/>
    </w:pPr>
    <w:rPr>
      <w:rFonts w:eastAsia="仿宋_GB2312;仿宋"/>
      <w:sz w:val="32"/>
      <w:szCs w:val="32"/>
    </w:rPr>
  </w:style>
  <w:style w:type="paragraph" w:styleId="Name">
    <w:basedOn w:val="Style13"/>
    <w:next w:val="DepartCorrespond"/>
    <w:pPr>
      <w:keepNext/>
      <w:spacing w:before="220" w:after="180"/>
      <w:jc w:val="center"/>
    </w:pPr>
    <w:rPr>
      <w:rFonts w:eastAsia="宋体;SimSun"/>
      <w:sz w:val="21"/>
      <w:szCs w:val="21"/>
    </w:rPr>
  </w:style>
  <w:style w:type="paragraph" w:styleId="1">
    <w:basedOn w:val="Normal"/>
    <w:next w:val="Name"/>
    <w:pPr>
      <w:keepNext/>
      <w:spacing w:before="240" w:after="100"/>
    </w:pPr>
    <w:rPr>
      <w:rFonts w:eastAsia="黑体;SimHei"/>
      <w:sz w:val="24"/>
      <w:szCs w:val="20"/>
      <w:b/>
    </w:rPr>
  </w:style>
  <w:style w:type="paragraph" w:styleId="DepartCorrespondhttp">
    <w:basedOn w:val="Style12"/>
    <w:pPr>
      <w:ind w:left="66" w:right="0" w:hanging="66"/>
    </w:pPr>
    <w:rPr>
      <w:sz w:val="16"/>
    </w:rPr>
  </w:style>
  <w:style w:type="paragraph" w:styleId="Style14">
    <w:basedOn w:val="TextBody"/>
  </w:style>
  <w:style w:type="paragraph" w:styleId="Style15">
    <w:basedOn w:val="Normal"/>
    <w:pPr>
      <w:jc w:val="center"/>
    </w:pPr>
    <w:rPr>
      <w:rFonts w:eastAsia="楷体_GB2312;楷体"/>
      <w:sz w:val="21"/>
      <w:szCs w:val="21"/>
    </w:rPr>
  </w:style>
  <w:style w:type="paragraph" w:styleId="Footnote">
    <w:basedOn w:val="Normal"/>
    <w:next w:val="11"/>
    <w:pPr>
      <w:spacing w:before="120" w:after="0" w:line="312" w:lineRule="auto"/>
      <w:ind w:firstLine="267"/>
    </w:pPr>
    <w:rPr>
      <w:sz w:val="15"/>
    </w:rPr>
  </w:style>
  <w:style w:type="paragraph" w:styleId="11">
    <w:basedOn w:val="Footnote"/>
    <w:pPr>
      <w:spacing w:before="0" w:after="0"/>
      <w:ind w:firstLine="297"/>
    </w:pPr>
  </w:style>
  <w:style w:type="paragraph" w:styleId="Style16">
    <w:basedOn w:val="Normal"/>
    <w:pPr/>
  </w:style>
  <w:style w:type="paragraph" w:styleId="Abstract">
    <w:next w:val="Keywords"/>
    <w:pPr>
      <w:widowControl/>
      <w:jc w:val="both"/>
    </w:pPr>
    <w:rPr>
      <w:rFonts w:ascii="Times New Roman" w:hAnsi="Times New Roman" w:cs="Times New Roman" w:eastAsia="宋体;SimSun"/>
      <w:sz w:val="21"/>
      <w:szCs w:val="21"/>
      <w:color w:val="auto"/>
    </w:rPr>
  </w:style>
  <w:style w:type="paragraph" w:styleId="DepartCorrespond">
    <w:basedOn w:val="Style12"/>
    <w:pPr>
      <w:ind w:left="99" w:hanging="99"/>
      <w:jc w:val="center"/>
    </w:pPr>
    <w:rPr>
      <w:sz w:val="15"/>
      <w:szCs w:val="15"/>
    </w:rPr>
  </w:style>
  <w:style w:type="paragraph" w:styleId="Date1">
    <w:basedOn w:val="DepartCorrespond"/>
    <w:next w:val="Normal"/>
    <w:pPr>
      <w:spacing w:before="0" w:after="240"/>
    </w:pPr>
    <w:rPr>
      <w:sz w:val="18"/>
    </w:rPr>
  </w:style>
  <w:style w:type="paragraph" w:styleId="Keywords">
    <w:basedOn w:val="Normal"/>
    <w:next w:val="Style18"/>
    <w:pPr>
      <w:spacing w:before="0" w:after="0"/>
      <w:ind w:left="1332" w:hanging="1332"/>
    </w:pPr>
    <w:rPr>
      <w:rFonts w:eastAsia="宋体;SimSun"/>
      <w:sz w:val="21"/>
      <w:szCs w:val="21"/>
    </w:rPr>
  </w:style>
  <w:style w:type="paragraph" w:styleId="Title1">
    <w:basedOn w:val="Normal"/>
    <w:next w:val="Name"/>
    <w:pPr>
      <w:keepNext/>
      <w:spacing w:before="240" w:after="100"/>
      <w:jc w:val="center"/>
      <w:outlineLvl w:val="0"/>
    </w:pPr>
    <w:rPr>
      <w:rFonts w:eastAsia="黑体;SimHei"/>
      <w:sz w:val="28"/>
      <w:szCs w:val="28"/>
      <w:b/>
    </w:rPr>
  </w:style>
  <w:style w:type="paragraph" w:styleId="Style17">
    <w:basedOn w:val="Date1"/>
    <w:next w:val="TextBody"/>
    <w:pPr>
      <w:spacing w:before="0" w:after="320"/>
      <w:ind w:left="0" w:hanging="0"/>
    </w:pPr>
    <w:rPr>
      <w:rFonts w:ascii="宋体;SimSun" w:hAnsi="宋体;SimSun" w:cs="宋体;SimSun" w:eastAsia="宋体;SimSun"/>
    </w:rPr>
  </w:style>
  <w:style w:type="paragraph" w:styleId="Style18">
    <w:basedOn w:val="TextBody"/>
    <w:next w:val="Style19"/>
    <w:pPr>
      <w:ind w:hanging="0"/>
    </w:pPr>
    <w:rPr>
      <w:rFonts w:eastAsia="宋体;SimSun"/>
      <w:szCs w:val="18"/>
    </w:rPr>
  </w:style>
  <w:style w:type="paragraph" w:styleId="Style19">
    <w:basedOn w:val="Style18"/>
    <w:next w:val="Style17"/>
    <w:pPr>
      <w:ind w:left="772" w:hanging="772"/>
    </w:pPr>
    <w:rPr>
      <w:rFonts w:eastAsia="宋体;SimSun"/>
      <w:szCs w:val="18"/>
    </w:rPr>
  </w:style>
  <w:style w:type="paragraph" w:styleId="12">
    <w:basedOn w:val="Heading2"/>
    <w:rPr>
      <w:sz w:val="18"/>
      <w:b/>
    </w:rPr>
  </w:style>
  <w:style w:type="paragraph" w:styleId="Correspond">
    <w:basedOn w:val="DepartCorrespond"/>
    <w:next w:val="Normal"/>
  </w:style>
  <w:style w:type="paragraph" w:styleId="Information">
    <w:basedOn w:val="Date1"/>
    <w:next w:val="Abstract"/>
    <w:pPr>
      <w:ind w:left="0" w:hanging="0"/>
    </w:pPr>
    <w:rPr>
      <w:b/>
    </w:rPr>
  </w:style>
  <w:style w:type="paragraph" w:styleId="Reference">
    <w:basedOn w:val="Normal"/>
    <w:next w:val="Normal"/>
    <w:pPr>
      <w:spacing w:before="280" w:after="0"/>
      <w:jc w:val="left"/>
      <w:outlineLvl w:val="0"/>
    </w:pPr>
    <w:rPr>
      <w:rFonts w:eastAsia="黑体;SimHei"/>
      <w:b/>
    </w:rPr>
  </w:style>
  <w:style w:type="paragraph" w:styleId="TextofReference">
    <w:pPr>
      <w:widowControl/>
      <w:spacing w:line="260" w:lineRule="exact"/>
      <w:jc w:val="both"/>
    </w:pPr>
    <w:rPr>
      <w:rFonts w:ascii="Times New Roman" w:hAnsi="Times New Roman" w:cs="Times New Roman" w:eastAsia="宋体;SimSun"/>
      <w:sz w:val="15"/>
      <w:szCs w:val="20"/>
      <w:color w:val="auto"/>
    </w:rPr>
  </w:style>
  <w:style w:type="paragraph" w:styleId="TextofReference1">
    <w:pPr>
      <w:widowControl/>
      <w:spacing w:line="260" w:lineRule="exact"/>
      <w:jc w:val="both"/>
    </w:pPr>
    <w:rPr>
      <w:rFonts w:ascii="Times New Roman" w:hAnsi="Times New Roman" w:cs="Times New Roman" w:eastAsia="宋体;SimSun"/>
      <w:sz w:val="15"/>
      <w:szCs w:val="20"/>
      <w:color w:val="auto"/>
    </w:rPr>
  </w:style>
  <w:style w:type="paragraph" w:styleId="Textof">
    <w:basedOn w:val="TextofReference"/>
    <w:pPr>
      <w:ind w:left="258" w:hanging="258"/>
    </w:pPr>
  </w:style>
  <w:style w:type="paragraph" w:styleId="Textof1">
    <w:basedOn w:val="Textof"/>
  </w:style>
  <w:style w:type="paragraph" w:styleId="Style20">
    <w:basedOn w:val="Normal"/>
    <w:pPr>
      <w:spacing w:before="0" w:after="120"/>
    </w:pPr>
  </w:style>
  <w:style w:type="paragraph" w:styleId="Style21">
    <w:basedOn w:val="TextBody"/>
    <w:next w:val="TextBody"/>
    <w:rPr>
      <w:rFonts w:eastAsia="黑体;SimHei"/>
    </w:rPr>
  </w:style>
  <w:style w:type="paragraph" w:styleId="Style22">
    <w:basedOn w:val="Normal"/>
    <w:pPr>
      <w:jc w:val="left"/>
    </w:pPr>
  </w:style>
  <w:style w:type="paragraph" w:styleId="Style23">
    <w:basedOn w:val="Header"/>
    <w:pPr>
      <w:jc w:val="both"/>
    </w:pPr>
  </w:style>
  <w:style w:type="paragraph" w:styleId="Style24">
    <w:basedOn w:val="Style19"/>
    <w:pPr>
      <w:ind w:left="0" w:hanging="0"/>
    </w:pPr>
    <w:rPr>
      <w:b/>
    </w:rPr>
  </w:style>
  <w:style w:type="paragraph" w:styleId="Style25">
    <w:basedOn w:val="Style21"/>
    <w:rPr>
      <w:rFonts w:eastAsia="仿宋_GB2312;仿宋"/>
    </w:rPr>
  </w:style>
  <w:style w:type="paragraph" w:styleId="Style26">
    <w:basedOn w:val="Style21"/>
    <w:next w:val="Reference"/>
    <w:pPr>
      <w:spacing w:before="100" w:after="0"/>
      <w:ind w:hanging="0"/>
    </w:pPr>
    <w:rPr>
      <w:rFonts w:eastAsia="宋体;SimSun"/>
    </w:rPr>
  </w:style>
  <w:style w:type="paragraph" w:styleId="Style27">
    <w:basedOn w:val="Reference"/>
    <w:next w:val="TextBody"/>
    <w:pPr>
      <w:spacing w:before="240" w:after="0"/>
    </w:pPr>
    <w:rPr>
      <w:b/>
    </w:rPr>
  </w:style>
  <w:style w:type="paragraph" w:styleId="Style28">
    <w:basedOn w:val="Normal"/>
    <w:rPr>
      <w:szCs w:val="18"/>
    </w:rPr>
  </w:style>
  <w:style w:type="paragraph" w:styleId="Style29">
    <w:basedOn w:val="Normal"/>
    <w:pPr>
      <w:widowControl/>
      <w:spacing w:before="280" w:after="280"/>
      <w:jc w:val="left"/>
    </w:pPr>
    <w:rPr>
      <w:rFonts w:ascii="宋体;SimSun" w:hAnsi="宋体;SimSun" w:cs="宋体;SimSun"/>
      <w:sz w:val="24"/>
      <w:szCs w:val="24"/>
    </w:rPr>
  </w:style>
  <w:style w:type="paragraph" w:styleId="TableContents">
    <w:basedOn w:val="Normal"/>
    <w:pPr>
      <w:widowControl/>
    </w:pPr>
  </w:style>
  <w:style w:type="paragraph" w:styleId="TableHeading">
    <w:basedOn w:val="TableContents"/>
    <w:pPr>
      <w:jc w:val="center"/>
    </w:pPr>
    <w:rPr>
      <w:b/>
    </w:rPr>
  </w:style>
  <w:style w:type="character" w:styleId="WW8Num1z0">
    <w:rPr>
      <w:color w:val="000000"/>
    </w:rPr>
  </w:style>
  <w:style w:type="character" w:styleId="WW8Num2z0"/>
  <w:style w:type="character" w:styleId="WW8Num2z1"/>
  <w:style w:type="character" w:styleId="WW8Num3z0">
    <w:rPr>
      <w:rFonts w:ascii="Times New Roman" w:hAnsi="Times New Roman" w:cs="Times New Roman"/>
      <w:sz w:val="21"/>
      <w:b/>
      <w:i/>
    </w:rPr>
  </w:style>
  <w:style w:type="character" w:styleId="WW8Num3z1">
    <w:rPr>
      <w:rFonts w:ascii="Times New Roman" w:hAnsi="Times New Roman" w:cs="Times New Roman"/>
      <w:sz w:val="18"/>
      <w:b/>
      <w:i/>
    </w:rPr>
  </w:style>
  <w:style w:type="character" w:styleId="WW8Num3z2">
    <w:rPr>
      <w:rFonts w:ascii="Times New Roman" w:hAnsi="Times New Roman" w:cs="Times New Roman"/>
      <w:sz w:val="18"/>
      <w:b/>
      <w:i/>
    </w:rPr>
  </w:style>
  <w:style w:type="character" w:styleId="WW8Num3z4"/>
  <w:style w:type="character" w:styleId="WW8Num4z0">
    <w:rPr>
      <w:sz w:val="15"/>
      <w:szCs w:val="15"/>
    </w:rPr>
  </w:style>
  <w:style w:type="character" w:styleId="WW8Num5z0">
    <w:rPr>
      <w:rFonts w:ascii="Times New Roman" w:hAnsi="Times New Roman" w:cs="Times New Roman" w:eastAsia="宋体;SimSun"/>
      <w:sz w:val="15"/>
      <w:b/>
      <w:i/>
    </w:rPr>
  </w:style>
  <w:style w:type="character" w:styleId="WW8Num6z0"/>
  <w:style w:type="character" w:styleId="WW8Num7z0"/>
  <w:style w:type="character" w:styleId="WW8Num8z0"/>
  <w:style w:type="character" w:styleId="WW8Num9z0"/>
  <w:style w:type="character" w:styleId="WW8Num10z0">
    <w:rPr>
      <w:rFonts w:ascii="宋体;SimSun" w:hAnsi="宋体;SimSun" w:cs="宋体;SimSun"/>
      <w:b/>
    </w:rPr>
  </w:style>
  <w:style w:type="character" w:styleId="WW8Num11z0">
    <w:rPr>
      <w:rFonts w:ascii="Times New Roman" w:hAnsi="Times New Roman" w:cs="Times New Roman"/>
    </w:rPr>
  </w:style>
  <w:style w:type="character" w:styleId="Style5"/>
  <w:style w:type="character" w:styleId="WW8Num1z1">
    <w:rPr>
      <w:rFonts w:ascii="Times New Roman" w:hAnsi="Times New Roman" w:cs="Times New Roman"/>
      <w:sz w:val="18"/>
      <w:b/>
      <w:i/>
    </w:rPr>
  </w:style>
  <w:style w:type="character" w:styleId="WW8Num1z2">
    <w:rPr>
      <w:rFonts w:ascii="Times New Roman" w:hAnsi="Times New Roman" w:cs="Times New Roman"/>
      <w:sz w:val="18"/>
      <w:b/>
      <w:i/>
    </w:rPr>
  </w:style>
  <w:style w:type="character" w:styleId="AbsatzStandardschriftart"/>
  <w:style w:type="character" w:styleId="WWAbsatzStandardschriftart"/>
  <w:style w:type="character" w:styleId="WW"/>
  <w:style w:type="character" w:styleId="WWAbsatzStandardschriftart1"/>
  <w:style w:type="character" w:styleId="WWAbsatzStandardschriftart11"/>
  <w:style w:type="character" w:styleId="WWAbsatzStandardschriftart111"/>
  <w:style w:type="character" w:styleId="WW1"/>
  <w:style w:type="character" w:styleId="WW8Num4z1">
    <w:rPr>
      <w:rFonts w:ascii="Times New Roman" w:hAnsi="Times New Roman" w:cs="Times New Roman"/>
      <w:sz w:val="18"/>
      <w:b/>
      <w:i/>
    </w:rPr>
  </w:style>
  <w:style w:type="character" w:styleId="WW8Num4z2">
    <w:rPr>
      <w:rFonts w:ascii="Times New Roman" w:hAnsi="Times New Roman" w:cs="Times New Roman"/>
      <w:sz w:val="18"/>
      <w:b/>
      <w:i/>
    </w:rPr>
  </w:style>
  <w:style w:type="character" w:styleId="WW11"/>
  <w:style w:type="character" w:styleId="CharChar12">
    <w:basedOn w:val="WW11"/>
    <w:rPr>
      <w:rFonts w:eastAsia="·s²Ó©úÅé;Malgun Gothic Semilight"/>
      <w:sz w:val="18"/>
    </w:rPr>
  </w:style>
  <w:style w:type="character" w:styleId="CharChar11">
    <w:basedOn w:val="WW11"/>
    <w:rPr>
      <w:rFonts w:eastAsia="宋体;SimSun"/>
      <w:sz w:val="18"/>
    </w:rPr>
  </w:style>
  <w:style w:type="character" w:styleId="CharChar10">
    <w:basedOn w:val="WW11"/>
    <w:rPr>
      <w:rFonts w:eastAsia="黑体;SimHei"/>
      <w:sz w:val="36"/>
    </w:rPr>
  </w:style>
  <w:style w:type="character" w:styleId="Char">
    <w:basedOn w:val="WW11"/>
    <w:rPr>
      <w:rFonts w:eastAsia="宋体;SimSun"/>
      <w:sz w:val="18"/>
    </w:rPr>
  </w:style>
  <w:style w:type="character" w:styleId="Style6"/>
  <w:style w:type="character" w:styleId="Style7">
    <w:rPr>
      <w:rFonts w:ascii="OpenSymbol;Courier New" w:hAnsi="OpenSymbol;Courier New" w:cs="OpenSymbol;Courier New" w:eastAsia="OpenSymbol;Courier New"/>
    </w:rPr>
  </w:style>
  <w:style w:type="character" w:styleId="InternetLink">
    <w:rPr>
      <w:color w:val="000080"/>
      <w:u w:val="single"/>
    </w:rPr>
  </w:style>
  <w:style w:type="character" w:styleId="1Char">
    <w:basedOn w:val="Style5"/>
    <w:rPr>
      <w:rFonts w:eastAsia="宋体;SimSun"/>
      <w:sz w:val="15"/>
    </w:rPr>
  </w:style>
  <w:style w:type="character" w:styleId="Shorttext1">
    <w:basedOn w:val="Style5"/>
    <w:rPr>
      <w:sz w:val="19"/>
      <w:szCs w:val="19"/>
    </w:rPr>
  </w:style>
  <w:style w:type="character" w:styleId="Mediumtext1">
    <w:basedOn w:val="Style5"/>
    <w:rPr>
      <w:sz w:val="16"/>
      <w:szCs w:val="16"/>
    </w:rPr>
  </w:style>
  <w:style w:type="character" w:styleId="Datatitle1">
    <w:basedOn w:val="Style5"/>
    <w:rPr>
      <w:sz w:val="13"/>
      <w:szCs w:val="13"/>
      <w:color w:val="10619F"/>
      <w:b/>
    </w:rPr>
  </w:style>
  <w:style w:type="character" w:styleId="StrongEmphasis">
    <w:basedOn w:val="Style5"/>
    <w:rPr>
      <w:b/>
    </w:rPr>
  </w:style>
  <w:style w:type="character" w:styleId="AbstractChar">
    <w:basedOn w:val="Style5"/>
    <w:rPr>
      <w:rFonts w:eastAsia="楷体_GB2312;楷体"/>
      <w:sz w:val="18"/>
    </w:rPr>
  </w:style>
  <w:style w:type="character" w:styleId="KeywordsChar">
    <w:basedOn w:val="Style5"/>
    <w:rPr>
      <w:rFonts w:eastAsia="楷体_GB2312;楷体"/>
      <w:sz w:val="18"/>
    </w:rPr>
  </w:style>
  <w:style w:type="character" w:styleId="Char1">
    <w:basedOn w:val="Char"/>
    <w:rPr>
      <w:rFonts w:eastAsia="楷体_GB2312;楷体"/>
    </w:rPr>
  </w:style>
  <w:style w:type="character" w:styleId="Char2">
    <w:basedOn w:val="Char1"/>
  </w:style>
  <w:style w:type="character" w:styleId="CharChar2">
    <w:basedOn w:val="Style5"/>
    <w:rPr>
      <w:rFonts w:eastAsia="黑体;SimHei"/>
      <w:sz w:val="18"/>
    </w:rPr>
  </w:style>
  <w:style w:type="character" w:styleId="FootnoteCharacters">
    <w:basedOn w:val="Style5"/>
    <w:rPr>
      <w:rFonts w:ascii="Monotype Sorts;MT Extra" w:hAnsi="Monotype Sorts;MT Extra" w:cs="Monotype Sorts;MT Extra" w:eastAsia="宋体;SimSun"/>
      <w:sz w:val="11"/>
      <w:spacing w:val="0"/>
    </w:rPr>
  </w:style>
  <w:style w:type="character" w:styleId="Style8">
    <w:basedOn w:val="Style5"/>
    <w:rPr>
      <w:sz w:val="21"/>
      <w:szCs w:val="21"/>
    </w:rPr>
  </w:style>
  <w:style w:type="character" w:styleId="EndnoteCharacters">
    <w:basedOn w:val="Style5"/>
  </w:style>
  <w:style w:type="character" w:styleId="CharChar1">
    <w:basedOn w:val="Style5"/>
    <w:rPr>
      <w:sz w:val="18"/>
    </w:rPr>
  </w:style>
  <w:style w:type="character" w:styleId="CharChar">
    <w:basedOn w:val="Style5"/>
    <w:rPr>
      <w:sz w:val="18"/>
      <w:szCs w:val="18"/>
    </w:rPr>
  </w:style>
  <w:style w:type="character" w:styleId="PageNumber">
    <w:basedOn w:val="Style5"/>
  </w:style>
  <w:style w:type="character" w:styleId="FootnoteAnchor"/>
  <w:style w:type="character" w:styleId="EndnoteAnchor"/>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