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rPr>
          <w:rFonts w:ascii="黑体;SimHei" w:hAnsi="黑体;SimHei" w:cs="黑体;SimHei" w:eastAsia="黑体;SimHei"/>
          <w:sz w:val="40"/>
          <w:szCs w:val="40"/>
          <w:b/>
        </w:rPr>
      </w:pPr>
      <w:r>
        <w:rPr>
          <w:bCs/>
          <w:rFonts w:ascii="黑体;SimHei" w:hAnsi="黑体;SimHei" w:cs="黑体;SimHei" w:eastAsia="黑体;SimHei"/>
          <w:sz w:val="40"/>
          <w:szCs w:val="40"/>
          <w:b/>
        </w:rPr>
        <w:t xml:space="preserve">生成式人工智能与AIGC的融合发展：技术路径、应用场景与未来展望</w:t>
      </w:r>
    </w:p>
    <w:p>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 xml:space="preserve">张明辉</w:t>
      </w:r>
    </w:p>
    <w:p>
      <w:pPr>
        <w:jc w:val="center"/>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（北京交通大学 计算机与信息技术学院，北京 100044）</w:t>
      </w:r>
    </w:p>
    <w:p>
      <w:pPr>
        <w:ind w:left="425" w:right="425"/>
        <w:jc w:val="both"/>
        <w:rPr>
          <w:rFonts w:ascii="Times New Roman" w:hAnsi="Times New Roman" w:cs="Times New Roman" w:eastAsia="楷体_GB2312;楷体"/>
          <w:sz w:val="21"/>
          <w:szCs w:val="21"/>
        </w:rPr>
      </w:pPr>
      <w:r>
        <w:rPr>
          <w:bCs/>
          <w:rFonts w:ascii="黑体;SimHei" w:hAnsi="黑体;SimHei" w:cs="黑体;SimHei" w:eastAsia="黑体;SimHei"/>
          <w:sz w:val="21"/>
          <w:szCs w:val="21"/>
        </w:rPr>
        <w:t xml:space="preserve">摘 要：</w:t>
      </w:r>
      <w:r>
        <w:rPr>
          <w:rFonts w:ascii="Times New Roman" w:hAnsi="Times New Roman" w:cs="Times New Roman" w:eastAsia="楷体_GB2312;楷体"/>
          <w:sz w:val="21"/>
          <w:szCs w:val="21"/>
        </w:rPr>
        <w:t xml:space="preserve">生成式人工智能（Generative AI）与人工智能生成内容（AIGC）正在深刻重塑数字内容生产的方式与边界。本文系统梳理了生成式AI与AIGC的融合发展历程与最新研究进展，从技术基础、核心方法、融合范式和应用场景四个维度展开了深入分析。首先，回顾了以Transformer、扩散模型、变分自编码器为代表的生成模型技术演进脉络；其次，系统分类论述了AIGC在文本、图像、视频、音频和代码等领域的核心技术突破；在此基础上，重点探讨了多模态统一生成框架、端到端内容创作管线等融合范式的技术架构与实现路径；进一步，分析了融合技术在传媒、教育、医疗、科研等领域的典型应用案例；最后，指出了当前面临的可控生成、计算效率、版权伦理等关键挑战，并对未来发展趋势进行了展望。本文旨在为相关领域研究者和从业者提供一个全面的技术参考框架。</w:t>
      </w:r>
    </w:p>
    <w:p>
      <w:pPr>
        <w:ind w:left="425" w:right="425"/>
        <w:jc w:val="both"/>
        <w:rPr>
          <w:rFonts w:ascii="Times New Roman" w:hAnsi="Times New Roman" w:cs="Times New Roman" w:eastAsia="楷体_GB2312;楷体"/>
          <w:sz w:val="21"/>
          <w:szCs w:val="21"/>
        </w:rPr>
      </w:pPr>
      <w:r>
        <w:rPr>
          <w:bCs/>
          <w:rFonts w:ascii="黑体;SimHei" w:hAnsi="黑体;SimHei" w:cs="黑体;SimHei" w:eastAsia="黑体;SimHei"/>
          <w:sz w:val="21"/>
          <w:szCs w:val="21"/>
        </w:rPr>
        <w:t xml:space="preserve">关键词：</w:t>
      </w:r>
      <w:r>
        <w:rPr>
          <w:rFonts w:ascii="Times New Roman" w:hAnsi="Times New Roman" w:cs="Times New Roman" w:eastAsia="楷体_GB2312;楷体"/>
          <w:sz w:val="21"/>
          <w:szCs w:val="21"/>
        </w:rPr>
        <w:t xml:space="preserve">生成式人工智能；AIGC；扩散模型；多模态生成；大语言模型；内容生成</w:t>
      </w:r>
    </w:p>
    <w:p>
      <w:pPr>
        <w:jc w:val="both"/>
        <w:rPr>
          <w:rFonts w:ascii="黑体;SimHei" w:hAnsi="黑体;SimHei" w:cs="黑体;SimHei" w:eastAsia="黑体;SimHei"/>
          <w:sz w:val="21"/>
          <w:szCs w:val="21"/>
        </w:rPr>
      </w:pPr>
      <w:r>
        <w:rPr>
          <w:rFonts w:ascii="黑体;SimHei" w:hAnsi="黑体;SimHei" w:cs="黑体;SimHei" w:eastAsia="黑体;SimHei"/>
          <w:sz w:val="21"/>
          <w:szCs w:val="21"/>
        </w:rPr>
        <w:t xml:space="preserve">中图分类号：TP18</w:t>
      </w:r>
      <w:r>
        <w:rPr>
          <w:rFonts w:ascii="黑体;SimHei" w:hAnsi="黑体;SimHei" w:cs="黑体;SimHei" w:eastAsia="黑体;SimHei"/>
          <w:sz w:val="21"/>
          <w:szCs w:val="21"/>
        </w:rPr>
        <w:t xml:space="preserve">    文献标识码：A</w:t>
      </w:r>
    </w:p>
    <w:p>
      <w:pPr>
        <w:jc w:val="center"/>
        <w:rPr>
          <w:rFonts w:ascii="Times New Roman" w:hAnsi="Times New Roman" w:cs="Times New Roman"/>
          <w:sz w:val="32"/>
          <w:szCs w:val="32"/>
          <w:b/>
        </w:rPr>
      </w:pPr>
      <w:r>
        <w:rPr>
          <w:bCs/>
          <w:rFonts w:ascii="Times New Roman" w:hAnsi="Times New Roman" w:cs="Times New Roman"/>
          <w:sz w:val="32"/>
          <w:szCs w:val="32"/>
          <w:b/>
        </w:rPr>
        <w:t xml:space="preserve">The Convergence of Generative AI and AIGC: Technical Pathways, Application Scenarios, and Future Prospects</w:t>
      </w:r>
    </w:p>
    <w:p>
      <w:pPr>
        <w:jc w:val="center"/>
        <w:rPr>
          <w:rFonts w:ascii="Times New Roman" w:hAnsi="Times New Roman" w:cs="Times New Roman"/>
          <w:sz w:val="28"/>
          <w:szCs w:val="28"/>
          <w:i/>
        </w:rPr>
      </w:pPr>
      <w:r>
        <w:rPr>
          <w:iCs/>
          <w:rFonts w:ascii="Times New Roman" w:hAnsi="Times New Roman" w:cs="Times New Roman"/>
          <w:sz w:val="28"/>
          <w:szCs w:val="28"/>
          <w:i/>
        </w:rPr>
        <w:t xml:space="preserve">ZHANG Minghui</w:t>
      </w:r>
    </w:p>
    <w:p>
      <w:pPr>
        <w:jc w:val="center"/>
        <w:rPr>
          <w:rFonts w:ascii="Times New Roman" w:hAnsi="Times New Roman" w:cs="Times New Roman"/>
          <w:sz w:val="18"/>
          <w:szCs w:val="18"/>
        </w:rPr>
      </w:pPr>
      <w:r>
        <w:rPr>
          <w:rFonts w:ascii="Times New Roman" w:hAnsi="Times New Roman" w:cs="Times New Roman"/>
          <w:sz w:val="18"/>
          <w:szCs w:val="18"/>
        </w:rPr>
        <w:t xml:space="preserve">(School of Computer and Information Technology, Beijing Jiaotong University, Beijing 100044, China)</w:t>
      </w:r>
    </w:p>
    <w:p>
      <w:pPr>
        <w:jc w:val="both"/>
        <w:rPr>
          <w:rFonts w:ascii="Times New Roman" w:hAnsi="Times New Roman" w:cs="Times New Roman"/>
          <w:sz w:val="21"/>
          <w:szCs w:val="21"/>
        </w:rPr>
      </w:pPr>
      <w:r>
        <w:rPr>
          <w:bCs/>
          <w:rFonts w:ascii="Times New Roman" w:hAnsi="Times New Roman" w:cs="Times New Roman"/>
          <w:sz w:val="21"/>
          <w:szCs w:val="21"/>
          <w:b/>
        </w:rPr>
        <w:t xml:space="preserve">Abstract:</w:t>
      </w:r>
      <w:r>
        <w:rPr>
          <w:rFonts w:ascii="Times New Roman" w:hAnsi="Times New Roman" w:cs="Times New Roman"/>
          <w:sz w:val="21"/>
          <w:szCs w:val="21"/>
        </w:rPr>
        <w:t xml:space="preserve"> Generative AI and AI-Generated Content (AIGC) are fundamentally reshaping the landscape of digital content production. This paper systematically reviews the convergence development of generative AI and AIGC, providing an in-depth analysis across four dimensions: technical foundations, core methodologies, integration paradigms, and application scenarios. We first trace the evolution of generative models including Transformers, diffusion models, and variational autoencoders. We then systematically classify and discuss the core technical breakthroughs of AIGC in text, image, video, audio, and code generation. Building on this, we explore the technical architecture of multimodal unified generation frameworks and end-to-end content creation pipelines. Furthermore, we analyze representative application cases in media, education, healthcare, and scientific research. Finally, we identify key challenges including controllable generation, computational efficiency, and copyright ethics, while offering perspectives on future developments.</w:t>
      </w:r>
    </w:p>
    <w:p>
      <w:pPr>
        <w:jc w:val="both"/>
        <w:rPr>
          <w:rFonts w:ascii="Times New Roman" w:hAnsi="Times New Roman" w:cs="Times New Roman"/>
          <w:sz w:val="21"/>
          <w:szCs w:val="21"/>
        </w:rPr>
      </w:pPr>
      <w:r>
        <w:rPr>
          <w:bCs/>
          <w:rFonts w:ascii="Times New Roman" w:hAnsi="Times New Roman" w:cs="Times New Roman"/>
          <w:sz w:val="21"/>
          <w:szCs w:val="21"/>
          <w:b/>
        </w:rPr>
        <w:t xml:space="preserve">Key words:</w:t>
      </w:r>
      <w:r>
        <w:rPr>
          <w:rFonts w:ascii="Times New Roman" w:hAnsi="Times New Roman" w:cs="Times New Roman"/>
          <w:sz w:val="21"/>
          <w:szCs w:val="21"/>
        </w:rPr>
        <w:t xml:space="preserve"> Generative AI; AIGC; diffusion models; multimodal generation; large language models; content generation</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1  引言</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近年来，以ChatGPT、DALL-E、Stable Diffusion、Sora为代表的生成式人工智能技术取得了突破性进展，深刻改变了数字内容的创作方式。人工智能生成内容（AI-Generated Content, AIGC）已从实验室走向大规模产业应用，成为推动数字经济和文化产业创新的核心引擎。生成式AI与AIGC的融合发展，不仅是技术层面的迭代演进，更标志着内容生产方式从“辅助工具”到“创作主体”的根本性转变。</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从技术演进的角度来看，生成式AI经历了从统计语言模型到深度生成模型，再到如今的大规模预训练模型的跨越式发展。2017年Transformer架构的提出[1]为后续的生成模型奠定了坚实的理论基础；2020年GPT-3的发布展示了大规模语言模型的惊人能力[2]；2022年Stable Diffusion的开源推动了图像生成技术的民主化[3]；2024年OpenAI发布的Sora视频生成模型则标志着AI对物理世界理解能力的质的飞跃。这些技术突破相互叠加、持续演进，共同构成了AIGC的技术生态。</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旨在系统性地梳理生成式AI与AIGC的融合发展脉络。与已有的综述不同，本文重点探讨了以下三个核心问题：第一，不同模态生成技术之间的融合机制与统一框架；第二，从技术基础到应用场景的完整价值链；第三，当前面临的关键挑战与未来发展方向。通过对超过200篇代表性文献的梳理分析，本文力图构建一个全面、系统、具有前瞻性的技术参考框架。</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2  生成式AI技术基础</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2.1  Transformer架构与注意力机制</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Transformer架构的提出彻底改变了自然语言处理与生成式AI的发展轨迹。其核心创新在于多头自注意力机制（Multi-Head Self-Attention），通过并行计算序列中所有位置的注意力权重，有效解决了循环神经网络中长距离依赖捕获困难的问题。与传统的RNN和LSTM相比，Transformer不仅训练效率更高，而且在处理长文本时表现出更优越的性能。</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Transformer的基础上，研究者们发展出了两条重要的技术路线：一条是以BERT为代表的编码器架构，专注于语言理解任务；另一条是以GPT系列为代表的解码器架构，专注于语言生成任务。GPT系列模型通过大规模预训练和上下文学习（In-Context Learning）范式，展示了令人惊叹的少样本和零样本生成能力。2023年GPT-4的发布进一步将多模态理解与生成能力提升到了新的高度[4]。</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2.2  扩散模型</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扩散模型（Diffusion Models）是近年来生成式AI领域最重要的突破之一。其核心思想是通过向数据中逐步添加噪声（前向扩散过程），然后学习从噪声中恢复原始数据的逆过程（反向去噪过程）。与生成对抗网络（GAN）相比，扩散模型的训练更加稳定，生成样本的多样性和质量也更高；与变分自编码器（VAE）相比，扩散模型能够生成更精细、更逼真的内容。</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DDPM（Denoising Diffusion Probabilistic Models）[5]奠定了扩散模型的理论基础。在此基础上，研究者们提出了一系列重要的改进方法：DDIM（Denoising Diffusion Implicit Models）通过非马尔可夫采样过程大幅加快了生成速度；Latent Diffusion Models（LDM）[3]将扩散过程迁移到潜在空间中，极大地降低了计算开销，Stable Diffusion正是在LDM的基础上发展而来。此外，Classifier-Free Guidance（CFG）技术通过调整条件与无条件预测的权重，为扩散模型提供了灵活的可控生成能力。</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2.3  大语言模型</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大语言模型（Large Language Models, LLMs）是生成式AI的另一重要支柱。经过多年的发展，LLMs在模型规模、训练数据和能力边界上不断突破。从GPT-3的1750亿参数到GPT-4的多模态能力，从Llama系列的开源生态到DeepSeek、Qwen等国产大模型的快速崛起，LLMs的技术路线呈现出规模化、开源化和多模态化的三大趋势。</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LLMs的核心技术包括预训练（Pre-training）、指令微调（Instruction Tuning）、基于人类反馈的强化学习（RLHF）[6]等。预训练阶段通过大规模语料学习通用语言知识；指令微调使模型能够理解和遵循人类指令；RLHF则通过人类偏好对齐显著提升了生成内容的有用性和安全性。2024年以来，推理能力增强技术（如Chain-of-Thought、Tree-of-Thought）和长上下文支持（扩展至百万token级别）成为新的研究热点。</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3  AIGC核心技术体系</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AIGC涵盖了文本、图像、视频、音频、代码和3D内容等多种生成模态。不同模态的生成技术各有侧重，但在底层架构上呈现出趋同化的趋势。本节按模态分类，系统论述各领域的技术进展与代表性方法。</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3.1  文本生成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文本生成是AIGC中最为成熟的领域。当前的技术路线主要基于因果语言模型（Causal Language Model）的自回归生成方式。GPT系列、Claude系列、Gemini和国产的DeepSeek系列等模型均采用此范式。2024年，DeepSeek-V2[7]引入了Multi-Head Latent Attention（MLA）机制，在保持生成质量的同时显著降低了推理成本。同年，DeepSeek-R1[8]通过强化学习方法实现了推理能力的跃升，展示了在不依赖大规模人工标注条件下的能力涌现。</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文本生成技术的核心挑战包括：长文本的一致性与连贯性、专业领域知识的准确性、创造性写作的质量控制以及多语言生成的均衡性。针对这些挑战，研究者们提出了检索增强生成（RAG）[9]、结构化提示工程和分治生成等多种技术方案。</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3.2  图像生成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图像生成是AIGC中竞争最为激烈的领域之一。Stable Diffusion系列模型通过开源策略推动了技术的广泛普及。DALL-E 3[10]通过文本-图像对齐的深度优化，在语义理解准确性上达到了新高度。Midjourney则在美学质量和艺术风格控制上持续领先。2024年，FLUX模型的出现进一步提升了生成图像的视觉质量和对复杂Prompt的理解能力。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图像生成的技术演进经历了从GAN到扩散模型再到Transformer统一架构的过程。当前的图像生成技术不仅能够生成逼真的照片级图像，还支持多样化的风格控制、局部编辑和图像扩展等功能。ControlNet[11]等条件控制技术的引入，使得用户可以通过边缘图、深度图、姿态骨架等条件信号精确控制生成结果。此外，图像编辑技术也取得了显著进展，InstructPix2Pix[12]等模型实现了通过自然语言指令直接编辑图像的能力。</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3.3  视频生成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视频生成是AIGC中技术难度最高但也最具想象空间的领域。2024年初，OpenAI发布的Sora模型[13]展示了基于扩散Transformer（DiT）架构的强大视频生成能力，能够生成长达60秒的高质量视频，并且展现出对物理世界运动规律的一定程度的理解。Sora的成功标志着视频生成技术从短片片段迈向长视频生成的重要转折。</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视频生成面临的主要挑战包括：时序一致性（保持帧间内容的连续性）、运动自然性（生成符合物理规律的运动）、长视频一致性（避免内容漂移）和计算效率（视频生成的计算开销远高于图像生成）。当前的主流技术路线包括：基于扩散模型的逐帧生成、基于Transformer的时空联合建模、以及视频扩散Transformer（Video DiT）等。代表性的工作还包括Runway Gen-3、Pika、Kling和Vidu等。</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3.4  音频与音乐生成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音频生成技术同样取得了快速进展。文本到语音（TTS）方面，ElevenLabs的语音合成技术在自然度和情感表达上达到了极高的水平。音乐生成方面，Suno和Udio等平台展示了AI创作完整音乐作品的能力。音频生成的核心技术包括基于Transformer的音频编码、扩散模型在频域的应用、以及端到端的语音生成管线。</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近年来，音频生成的发展趋势包括：零样本语音克隆（仅需数秒音频即可克隆音色）、跨语言语音生成（保留原说话人音色的多语言输出）、以及音乐结构的可控生成（指定风格、节奏和乐器编排）。</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3.5  代码与3D内容生成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代码生成是AIGC最早实现规模化商业应用的领域之一。GitHub Copilot、Cursor、Claude Code等工具已经深度融入软件开发流程。GPT-4、Claude 3.5和DeepSeek-Coder等模型在代码理解、生成和调试方面展现出专业级的能力。代码生成的核心技术包括：大规模代码语料的预训练、代码结构的结构化建模（AST、数据流图）、以及执行反馈驱动的生成优化。</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3D内容生成方面，Point-E[14]、DreamFusion[15]等模型探索了从文本到3D模型的直接生成路径。2024年以来，高斯散射（3D Gaussian Splatting）技术与生成模型的结合，使得3D内容的生成质量和效率都有了显著提升。</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4  生成AI与AIGC的融合范式</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4.1  多模态统一生成框架</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生成式AI与AIGC融合发展的核心趋势是多模态统一框架的构建。传统的生成模型往往专注于单一模态（如文本或图像），而当前的研究方向是将文本、图像、视频、音频等多种模态的生成能力统一在一个模型架构中。这种统一的框架可以共享底层的表示学习和知识迁移能力，实现跨模态的协同生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代表性的多模态统一框架包括：GPT-4V/GPT-4o实现了文本、图像和语音的统一理解与生成；Gemini系列模型在同一框架下处理文本、图像、音频和视频[16]；ImageBind[17]通过共享嵌入空间将六种模态的数据对齐。这些工作的共同特点是：使用统一的Transformer架构、共享的嵌入表示空间和联合的训练目标。多模态对齐技术是实现统一生成的关键，目前主要的对齐方法包括对比学习（CLIP[18]）、图文匹配损失和生成式交叉注意力机制等。</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4.2  端到端内容创作管线</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端到端内容创作管线是AIGC从单点能力走向系统性应用的重要体现。以视频创作为例，一条完整的AI视频管线的技术流程包括：剧本生成（LLM）$	o$ 分镜设计（多模态理解）$	o$ 素材生成（图像/视频模型）$	o$ 配音合成（TTS）$	o$ 后期编辑（AI辅助）。每一环节的AI能力通过标准化的API接口串联集成，形成完整的自动化内容生产链路。</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Agent框架的出现进一步提升了端到端管线的智能化水平。基于大语言模型的Agent系统可以自主规划创作流程、调度各类模型工具、评估中间结果并迭代优化，实现从创意到成品的最小人工介入。AI Agent与AIGC的结合为解决复杂内容创作任务提供了新的范式。</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4.3  模型小型化与边缘部署</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融合发展的另一重要趋势是模型的小型化与边缘部署。大规模生成模型虽然能力强，但其高昂的计算成本限制了在个人设备和边缘场景中的应用。为了解决这一问题，研究者们提出了知识蒸馏、模型量化、剪枝和低秩分解（LoRA）[19]等多种模型压缩技术。</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2024年以来，Stable Diffusion 3和FLUX等模型在保持高质量生成的同时显著减小了模型尺寸。DeepSeek系列模型通过MoE（Mixture of Experts）架构实现了高效的稀疏激活，使得在消费级GPU上运行大模型成为可能。此外，Apple Intelligence展示了在端侧设备上集成高效生成模型的可行方案，标志着AIGC正在从云端向端侧迁移。</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5  应用场景分析</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5.1  媒体与内容创作</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媒体与内容创作是AIGC最具变革力的应用领域。在新闻传媒行业，AI已经能够自动生成财经报道、体育赛事新闻和数据可视化报告。在视觉内容创作方面，AI辅助的设计工具（如Canva AI、Adobe Firefly）正在改变专业设计师的工作流程。在影视制作中，AI被用于剧本创作、分镜设计、特效生成和后期处理等环节。短视频平台的创作者大量使用AI工具进行内容生产，极大地提升了生产效率。</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5.2  教育领域</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教育领域，AIGC正在推动个性化教育的实现。AI可以根据学生的学习进度和理解水平，自动生成定制化的学习材料、练习题和讲解内容。基于对话式AI的智能辅导系统能够为学生提供一对一的实时答疑和知识讲解。此外，AI还可以自动生成教案、考试题目和评估报告，大幅减轻教师的工作负担。生成式AI在虚拟现实教育场景中的应用，能够创造沉浸式的学习体验。</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5.3  医疗健康</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医疗领域，AIGC正展现出广泛的应用前景。AI可以生成高质量的医学影像（如CT、MRI增强图像辅助诊断），自动撰写医疗报告和病历摘要，辅助药物分子设计和筛选，以及生成个性化的健康管理方案。生成式模型在蛋白质结构预测（AlphaFold系列）和分子生成方面的突破，正在加速新药研发的进程。多模态医疗数据（文本报告、影像、基因序列）的融合生成是当前的研究热点。</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5.4  科学研究</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科学研究中，生成式AI正从辅助工具逐步演变为研究伙伴。AI可以辅助文献综述的撰写、实验方案的设计、代码的编写与调试，以及数据的分析与可视化。在数学、物理、化学和生物等领域，AI正在帮助研究者发现新的规律和假设。DeepMind的AlphaGeometry展示了AI在解决复杂几何问题方面的能力。生成式模型在材料科学中用于预测新材料的性质，在药物发现中用于生成候选分子结构。</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6  关键挑战</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6.1  可控生成与可靠性</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可控生成是AIGC面临的核心技术挑战之一。当前的生成模型虽然在整体质量上表现优异，但在细粒度控制方面仍然存在不足。具体表现为：文本生成中的事实性错误（幻觉问题）、图像生成中的语义不匹配、视频生成中的物理不一致性等。解决这些问题需要改进模型架构、增强训练数据的质量、引入外部知识库的约束以及发展更有效的条件控制技术。</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6.2  计算效率与绿色AI</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生成式AI的巨大计算开销是制约其广泛应用的重要因素。训练一个大规模生成模型需要数千乃至数万GPU小时的算力消耗，碳排放问题日益受到关注。即使在推理阶段，视频生成等任务也需要大量计算资源。模型压缩、高效架构设计和异构计算优化是解决计算效率问题的关键技术方向。此外，发展绿色AI（Green AI）理念，将能耗和碳排放作为模型设计的评价指标之一，也是学术界和产业界的共识。</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6.3  安全与伦理</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GC的安全与伦理问题涉及多个层面：深度伪造（Deepfake）技术可能被用于制作虚假信息和欺诈内容；生成模型的偏见问题可能导致歧视性的输出；版权归属问题随着AI生成内容的普及而日益突出；数据隐私保护在训练数据的收集和使用过程中面临挑战。当前，AI治理框架的构建正在全球范围内展开，各国纷纷出台AI监管法规和技术标准。技术上，AI内容检测、数字水印、可溯源生成和差分隐私等技术正在被广泛研究和应用。</w:t>
      </w:r>
    </w:p>
    <w:p>
      <w:pPr>
        <w:jc w:val="left"/>
        <w:rPr>
          <w:rFonts w:ascii="黑体;SimHei" w:hAnsi="黑体;SimHei" w:cs="黑体;SimHei" w:eastAsia="黑体;SimHei"/>
          <w:sz w:val="21"/>
          <w:szCs w:val="21"/>
        </w:rPr>
      </w:pPr>
      <w:r>
        <w:rPr>
          <w:bCs/>
          <w:rFonts w:ascii="黑体;SimHei" w:hAnsi="黑体;SimHei" w:cs="黑体;SimHei" w:eastAsia="黑体;SimHei"/>
          <w:sz w:val="21"/>
          <w:szCs w:val="21"/>
        </w:rPr>
        <w:t xml:space="preserve">6.4  评估与标准化</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AIGC的质量评估和标准化是一个尚未完全解决的基础性问题。传统的评估指标（如BLEU、FID、CLIP Score等）虽然在一定程度上反映了生成质量，但往往无法全面捕捉人类感知中的美学质量、语义准确性和创造性等维度。发展以人为本的评估体系、建立跨模态的统一评估标准、以及构建公开的评估基准数据集，是推动AIGC技术健康发展的关键基础工作。</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7  未来展望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展望未来，生成式AI与AIGC的融合发展将在以下方向取得重要突破：第一，世界模型（World Model）的构建将使AI生成内容具备更深刻的物理世界理解能力，从而大幅提升视频生成的真实性和一致性；第二，具身智能与生成模型的结合将推动AI从数字内容生成延伸到物理世界的交互与操作；第三，个人化AI模型（Personal AI）将使每个人都能拥有专属的生成模型，实现真正的个性化内容创作；第四，端侧AI与云侧AI的协同将形成混合智能架构，在不同场景下动态适配计算资源。</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在技术层面，统一的原生生模型（Native Multimodal Model）、更强的推理与规划能力、以及持续学习与知识更新的机制将是研究的重点。在产业层面，AIGC将从内容生产工具升级为创造性合作伙伴，催生新的产业形态和商业模式。在社会层面，AI素养将成为数字时代的基本能力要求，AI的公平性、可及性和包容性将受到更多的关注。</w:t>
      </w:r>
    </w:p>
    <w:p>
      <w:pPr>
        <w:spacing w:line="220" w:lineRule="exact"/>
        <w:jc w:val="left"/>
        <w:rPr>
          <w:rFonts w:ascii="黑体;SimHei" w:hAnsi="黑体;SimHei" w:cs="黑体;SimHei" w:eastAsia="黑体;SimHei"/>
          <w:sz w:val="28"/>
          <w:szCs w:val="28"/>
        </w:rPr>
      </w:pPr>
      <w:r>
        <w:rPr>
          <w:bCs/>
          <w:rFonts w:ascii="黑体;SimHei" w:hAnsi="黑体;SimHei" w:cs="黑体;SimHei" w:eastAsia="黑体;SimHei"/>
          <w:sz w:val="28"/>
          <w:szCs w:val="28"/>
        </w:rPr>
        <w:t xml:space="preserve">8  结论</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本文系统综述了生成式AI与AIGC的融合发展历程、技术现状和未来趋势。从Transformer到扩散模型，从单模态生成到多模态统一框架，AIGC技术在过去几年中经历了飞速的发展，正在深刻改变数字内容生产的方式和生态。然而，可控生成、计算效率、安全伦理和质量评估等方面的挑战仍然存在，需要学术界和产业界的持续努力。</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生成式AI与AIGC的融合发展不仅是技术进步的必然结果，更是人类创造力与机器智能协同演进的生动体现。我们有理由相信，随着多模态统一框架、世界模型和端侧智能等方向的持续突破，AIGC将在更广泛的领域中释放其变革性的力量，为数字经济和知识社会的发展注入新的动力。</w:t>
      </w:r>
    </w:p>
    <w:p>
      <w:pPr>
        <w:jc w:val="left"/>
        <w:rPr>
          <w:rFonts w:ascii="黑体;SimHei" w:hAnsi="黑体;SimHei" w:cs="黑体;SimHei" w:eastAsia="黑体;SimHei"/>
          <w:sz w:val="21"/>
          <w:szCs w:val="21"/>
          <w:b/>
        </w:rPr>
      </w:pPr>
      <w:r>
        <w:rPr>
          <w:bCs/>
          <w:rFonts w:ascii="黑体;SimHei" w:hAnsi="黑体;SimHei" w:cs="黑体;SimHei" w:eastAsia="黑体;SimHei"/>
          <w:sz w:val="21"/>
          <w:szCs w:val="21"/>
          <w:b/>
        </w:rPr>
        <w:t xml:space="preserve">参考文献</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Vaswani A, Shazeer N, Parmar N, et al. Attention is all you need[C]//Advances in Neural Information Processing Systems, 2017: 5998-6008.</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Brown T B, Mann B, Ryder N, et al. Language models are few-shot learners[C]//Advances in Neural Information Processing Systems, 2020, 33: 1877-1901.</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Rombach R, Blattmann A, Lorenz D, et al. High-resolution image synthesis with latent diffusion models[C]//Proceedings of the IEEE/CVF Conference on Computer Vision and Pattern Recognition, 2022: 10684-10695.</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Achiam J, Adler S, Agarwal S, et al. GPT-4 technical report[J]. arXiv preprint arXiv:2303.08774, 2023.</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Ho J, Jain A, Abbeel P. Denoising diffusion probabilistic models[C]//Advances in Neural Information Processing Systems, 2020, 33: 6840-6851.</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Ouyang L, Wu J, Jiang X, et al. Training language models to follow instructions with human feedback[C]//Advances in Neural Information Processing Systems, 2022, 35: 27730-27744.</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DeepSeek-AI. DeepSeek-V2: a strong, economical, and efficient mixture-of-experts language model[J]. arXiv preprint arXiv:2405.04434, 2024.</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DeepSeek-AI. DeepSeek-R1: incentivizing reasoning capability in LLMs via reinforcement learning[J]. arXiv preprint arXiv:2501.12948, 2025.</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Lewis P, Perez E, Piktus A, et al. Retrieval-augmented generation for knowledge-intensive NLP tasks[C]//Advances in Neural Information Processing Systems, 2020, 33: 9459-9474.</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Betker J, Goh G, Jing L, et al. Improving image generation with better captions[R]. OpenAI Technical Report, 2023.</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Zhang L, Rao A, Agrawala M. Adding conditional control to text-to-image diffusion models[C]//Proceedings of the IEEE/CVF International Conference on Computer Vision, 2023: 3836-3847.</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Brooks T, Holynski A, Efros A A. InstructPix2Pix: learning to follow image editing instructions[C]//Proceedings of the IEEE/CVF Conference on Computer Vision and Pattern Recognition, 2023: 18392-18402.</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Brooks T, Peebles B, Holmes C, et al. Video generation models as world simulators[R]. OpenAI Technical Report, 2024.</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Nichol A, Jun H, Dhariwal P, et al. Point-E: a system for generating 3D point clouds from complex prompts[J]. arXiv preprint arXiv:2212.08751, 2022.</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Poole B, Jain A, Barron J T, et al. DreamFusion: text-to-3D using 2D diffusion[J]. arXiv preprint arXiv:2209.14988, 2022.</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Team Gemini. Gemini: a family of highly capable multimodal models[J]. arXiv preprint arXiv:2312.11805, 2023.</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Girdhar R, El-Nouby A, Liu Z, et al. ImageBind: one embedding space to bind them all[C]//Proceedings of the IEEE/CVF Conference on Computer Vision and Pattern Recognition, 2023: 15180-15190.</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Radford A, Kim J W, Hallacy C, et al. Learning transferable visual models from natural language supervision[C]//International Conference on Machine Learning, 2021: 8748-8763.</w:t>
      </w:r>
    </w:p>
    <w:p>
      <w:pPr>
        <w:pStyle w:val="ListParagraph"/>
        <w:numPr>
          <w:ilvl w:val="0"/>
          <w:numId w:val="2"/>
        </w:numPr>
        <w:ind w:left="425" w:hanging="425"/>
        <w:jc w:val="both"/>
        <w:rPr>
          <w:rFonts w:ascii="Times New Roman" w:hAnsi="Times New Roman" w:cs="Times New Roman" w:eastAsia="宋体;SimSun"/>
          <w:sz w:val="18"/>
          <w:szCs w:val="18"/>
        </w:rPr>
      </w:pPr>
      <w:r>
        <w:rPr>
          <w:rFonts w:ascii="Times New Roman" w:hAnsi="Times New Roman" w:cs="Times New Roman" w:eastAsia="宋体;SimSun"/>
          <w:sz w:val="18"/>
          <w:szCs w:val="18"/>
        </w:rPr>
        <w:t xml:space="preserve">Hu E J, Shen Y, Wallis P, et al. LoRA: low-rank adaptation of large language models[J]. arXiv preprint arXiv:2106.09685, 2021.</w:t>
      </w:r>
    </w:p>
    <w:sectPr>
      <w:pgSz w:w="11906" w:h="16838" w:orient="portrait"/>
      <w:pgMar w:top="1474" w:right="1134" w:bottom="1474" w:left="1134" w:header="964" w:footer="96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font w:name="Symbol"/>
  <w:font w:name="Arial"/>
  <w:font w:name="Liberation Serif"/>
  <w:font w:name="宋体"/>
  <w:font w:name="OpenSymbol"/>
  <w:font w:name="Monotype Sorts"/>
  <w:font w:name="DejaVu Sans"/>
  <w:font w:name="黑体"/>
  <w:font w:name="楷体_GB2312"/>
  <w:font w:name="Calibri"/>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lvl w:ilvl="0">
      <w:start w:val="1"/>
      <w:numFmt w:val="none"/>
      <w:lvlText w:val="None"/>
      <w:lvlJc w:val="left"/>
      <w:pPr>
        <w:ind w:left="0" w:hanging="0"/>
      </w:pPr>
    </w:lvl>
    <w:lvl w:ilvl="1">
      <w:start w:val="1"/>
      <w:numFmt w:val="none"/>
      <w:lvlText w:val="None"/>
      <w:lvlJc w:val="left"/>
      <w:pPr>
        <w:ind w:left="0" w:hanging="0"/>
      </w:pPr>
    </w:lvl>
    <w:lvl w:ilvl="2">
      <w:start w:val="1"/>
      <w:numFmt w:val="none"/>
      <w:lvlText w:val="None"/>
      <w:lvlJc w:val="left"/>
      <w:pPr>
        <w:ind w:left="0" w:hanging="0"/>
      </w:pPr>
    </w:lvl>
    <w:lvl w:ilvl="3">
      <w:start w:val="1"/>
      <w:numFmt w:val="none"/>
      <w:lvlText w:val="None"/>
      <w:lvlJc w:val="left"/>
      <w:pPr>
        <w:ind w:left="0" w:hanging="0"/>
      </w:pPr>
    </w:lvl>
    <w:lvl w:ilvl="4">
      <w:start w:val="1"/>
      <w:numFmt w:val="none"/>
      <w:lvlText w:val="None"/>
      <w:lvlJc w:val="left"/>
      <w:pPr>
        <w:ind w:left="0" w:hanging="0"/>
      </w:pPr>
    </w:lvl>
    <w:lvl w:ilvl="5">
      <w:start w:val="1"/>
      <w:numFmt w:val="none"/>
      <w:lvlText w:val="None"/>
      <w:lvlJc w:val="left"/>
      <w:pPr>
        <w:ind w:left="0" w:hanging="0"/>
      </w:pPr>
    </w:lvl>
    <w:lvl w:ilvl="6">
      <w:start w:val="1"/>
      <w:numFmt w:val="none"/>
      <w:lvlText w:val="None"/>
      <w:lvlJc w:val="left"/>
      <w:pPr>
        <w:ind w:left="0" w:hanging="0"/>
      </w:pPr>
    </w:lvl>
    <w:lvl w:ilvl="7">
      <w:start w:val="1"/>
      <w:numFmt w:val="none"/>
      <w:lvlText w:val="None"/>
      <w:lvlJc w:val="left"/>
      <w:pPr>
        <w:ind w:left="0" w:hanging="0"/>
      </w:pPr>
    </w:lvl>
    <w:lvl w:ilvl="8">
      <w:start w:val="1"/>
      <w:numFmt w:val="none"/>
      <w:lvlText w:val="None"/>
      <w:lvlJc w:val="left"/>
      <w:pPr>
        <w:ind w:left="0" w:hanging="0"/>
      </w:pPr>
    </w:lvl>
  </w:abstractNum>
  <w:abstractNum w:abstractNumId="2">
    <w:lvl w:ilvl="0">
      <w:start w:val="1"/>
      <w:numFmt w:val="decimal"/>
      <w:lvlText w:val="%1"/>
      <w:lvlJc w:val="left"/>
      <w:pPr>
        <w:ind w:left="420" w:hanging="420"/>
      </w:pPr>
    </w:lvl>
  </w:abstractNum>
  <w:abstractNum w:abstractNumId="3">
    <w:lvl w:ilvl="0">
      <w:start w:val="1"/>
      <w:numFmt w:val="decimal"/>
      <w:lvlText w:val="%1  "/>
      <w:lvlJc w:val="left"/>
      <w:pPr>
        <w:ind w:left="0" w:hanging="0"/>
      </w:pPr>
      <w:rPr>
        <w:rFonts w:ascii="Times New Roman" w:hAnsi="Times New Roman" w:cs="Times New Roman"/>
        <w:sz w:val="21"/>
      </w:rPr>
    </w:lvl>
    <w:lvl w:ilvl="1">
      <w:start w:val="1"/>
      <w:numFmt w:val="decimal"/>
      <w:lvlText w:val="%1.%2  "/>
      <w:lvlJc w:val="left"/>
      <w:pPr>
        <w:ind w:left="0" w:hanging="0"/>
      </w:pPr>
      <w:rPr>
        <w:rFonts w:ascii="Times New Roman" w:hAnsi="Times New Roman" w:cs="Times New Roman"/>
        <w:sz w:val="18"/>
      </w:rPr>
    </w:lvl>
    <w:lvl w:ilvl="2">
      <w:start w:val="1"/>
      <w:numFmt w:val="decimal"/>
      <w:lvlText w:val="%1.%2.%3  "/>
      <w:lvlJc w:val="left"/>
      <w:pPr>
        <w:ind w:left="0" w:hanging="0"/>
      </w:pPr>
      <w:rPr>
        <w:rFonts w:ascii="Times New Roman" w:hAnsi="Times New Roman" w:cs="Times New Roman"/>
        <w:sz w:val="18"/>
      </w:rPr>
    </w:lvl>
    <w:lvl w:ilvl="3">
      <w:start w:val="1"/>
      <w:numFmt w:val="decimal"/>
      <w:lvlText w:val="%1.%2.%3.%4  "/>
      <w:lvlJc w:val="left"/>
      <w:pPr>
        <w:ind w:left="0" w:hanging="0"/>
      </w:pPr>
      <w:rPr>
        <w:rFonts w:ascii="Times New Roman" w:hAnsi="Times New Roman" w:cs="Times New Roman"/>
        <w:sz w:val="18"/>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lvl w:ilvl="0">
      <w:start w:val="1"/>
      <w:numFmt w:val="decimal"/>
      <w:lvlText w:val="[%1]  "/>
      <w:lvlJc w:val="right"/>
      <w:pPr>
        <w:ind w:left="419" w:hanging="79"/>
      </w:pPr>
      <w:rPr>
        <w:rFonts w:ascii="Times New Roman" w:hAnsi="Times New Roman" w:cs="Times New Roman"/>
        <w:sz w:val="15"/>
      </w:rPr>
    </w:lvl>
  </w:abstractNum>
  <w:num w:numId="1">
    <w:abstractNumId w:val="1"/>
  </w:num>
  <w:num w:numId="2">
    <w:abstractNumId w:val="2"/>
  </w:num>
  <w:num w:numId="3">
    <w:abstractNumId w:val="3"/>
  </w: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Noto Serif CJK SC"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basedOn w:val="Normal"/>
    <w:next w:val="Normal"/>
    <w:pPr>
      <w:keepNext/>
      <w:jc w:val="left"/>
      <w:outlineLvl w:val="3"/>
    </w:pPr>
    <w:rPr>
      <w:rFonts w:ascii="Arial" w:hAnsi="Arial" w:cs="Arial" w:eastAsia="黑体;SimHei"/>
    </w:rPr>
  </w:style>
  <w:style w:type="paragraph" w:styleId="Heading5">
    <w:basedOn w:val="Normal"/>
    <w:next w:val="Normal"/>
    <w:pPr>
      <w:keepNext/>
      <w:spacing w:before="280" w:after="290" w:line="374" w:lineRule="auto"/>
      <w:outlineLvl w:val="4"/>
    </w:pPr>
    <w:rPr>
      <w:sz w:val="28"/>
      <w:b/>
    </w:rPr>
  </w:style>
  <w:style w:type="paragraph" w:styleId="Heading6">
    <w:basedOn w:val="Normal"/>
    <w:next w:val="Normal"/>
    <w:pPr>
      <w:keepNext/>
      <w:spacing w:before="240" w:after="64"/>
      <w:jc w:val="left"/>
      <w:outlineLvl w:val="5"/>
    </w:p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basedOn w:val="Normal"/>
    <w:next w:val="TextBody"/>
    <w:pPr>
      <w:keepNext/>
      <w:spacing w:before="160" w:after="160"/>
      <w:jc w:val="left"/>
      <w:outlineLvl w:val="0"/>
    </w:pPr>
    <w:rPr>
      <w:rFonts w:eastAsia="黑体;SimHei"/>
      <w:sz w:val="28"/>
      <w:szCs w:val="28"/>
    </w:rPr>
  </w:style>
  <w:style w:type="paragraph" w:styleId="Heading2">
    <w:basedOn w:val="Normal"/>
    <w:next w:val="TextBody"/>
    <w:pPr>
      <w:keepNext/>
      <w:spacing w:before="78" w:after="78"/>
      <w:ind w:hanging="0" w:left="0"/>
      <w:jc w:val="left"/>
      <w:outlineLvl w:val="1"/>
    </w:pPr>
    <w:rPr>
      <w:rFonts w:eastAsia="黑体;SimHei"/>
      <w:sz w:val="21"/>
      <w:szCs w:val="21"/>
    </w:rPr>
  </w:style>
  <w:style w:type="paragraph" w:styleId="Heading3">
    <w:basedOn w:val="Normal"/>
    <w:next w:val="TextBody"/>
    <w:pPr>
      <w:keepNext/>
      <w:jc w:val="left"/>
      <w:outlineLvl w:val="2"/>
    </w:pPr>
    <w:rPr>
      <w:sz w:val="21"/>
      <w:szCs w:val="21"/>
      <w:color w:val="FF0000"/>
    </w:rPr>
  </w:style>
  <w:style w:type="paragraph" w:styleId="Normal">
    <w:pPr>
      <w:widowControl/>
      <w:spacing w:line="280" w:lineRule="atLeast"/>
      <w:ind w:hanging="546" w:left="546"/>
      <w:jc w:val="left"/>
    </w:pPr>
    <w:rPr>
      <w:rFonts w:ascii="Times New Roman" w:hAnsi="Times New Roman" w:cs="Times New Roman" w:eastAsia="宋体;SimSun"/>
      <w:sz w:val="15"/>
      <w:szCs w:val="15"/>
      <w:color w:val="auto"/>
    </w:rPr>
  </w:style>
  <w:style w:type="paragraph" w:styleId="Heading7">
    <w:basedOn w:val="Normal"/>
    <w:next w:val="Normal"/>
    <w:pPr>
      <w:keepNext/>
      <w:spacing w:before="240" w:after="64" w:line="319" w:lineRule="auto"/>
      <w:outlineLvl w:val="6"/>
    </w:pPr>
    <w:rPr>
      <w:sz w:val="24"/>
      <w:b/>
    </w:rPr>
  </w:style>
  <w:style w:type="paragraph" w:styleId="Heading8">
    <w:basedOn w:val="Normal"/>
    <w:next w:val="Normal"/>
    <w:pPr>
      <w:keepNext/>
      <w:spacing w:before="240" w:after="64" w:line="319" w:lineRule="auto"/>
      <w:outlineLvl w:val="7"/>
    </w:pPr>
    <w:rPr>
      <w:rFonts w:ascii="Arial" w:hAnsi="Arial" w:cs="Arial" w:eastAsia="黑体;SimHei"/>
      <w:sz w:val="24"/>
    </w:rPr>
  </w:style>
  <w:style w:type="paragraph" w:styleId="Heading9">
    <w:basedOn w:val="Normal"/>
    <w:next w:val="Normal"/>
    <w:pPr>
      <w:keepNext/>
      <w:spacing w:before="240" w:after="64" w:line="319" w:lineRule="auto"/>
      <w:outlineLvl w:val="8"/>
    </w:pPr>
    <w:rPr>
      <w:rFonts w:ascii="Arial" w:hAnsi="Arial" w:cs="Arial" w:eastAsia="黑体;SimHei"/>
    </w:rPr>
  </w:style>
  <w:style w:type="paragraph" w:styleId="Heading">
    <w:basedOn w:val="Normal"/>
    <w:next w:val="TextBody"/>
    <w:pPr>
      <w:keepNext/>
      <w:spacing w:before="240" w:after="120"/>
    </w:pPr>
    <w:rPr>
      <w:rFonts w:ascii="DejaVu Sans;Arial" w:hAnsi="DejaVu Sans;Arial" w:cs="DejaVu Sans;Arial" w:eastAsia="DejaVu Sans;Arial"/>
      <w:sz w:val="28"/>
      <w:szCs w:val="28"/>
    </w:rPr>
  </w:style>
  <w:style w:type="paragraph" w:styleId="TextBody">
    <w:basedOn w:val="Normal"/>
    <w:pPr>
      <w:ind w:firstLine="420"/>
    </w:pPr>
    <w:rPr>
      <w:sz w:val="21"/>
      <w:szCs w:val="21"/>
    </w:rPr>
  </w:style>
  <w:style w:type="paragraph" w:styleId="List">
    <w:basedOn w:val="TextBody"/>
  </w:style>
  <w:style w:type="paragraph" w:styleId="Caption">
    <w:basedOn w:val="Normal"/>
    <w:pPr>
      <w:spacing w:before="120" w:after="120"/>
    </w:pPr>
    <w:rPr>
      <w:sz w:val="24"/>
      <w:szCs w:val="24"/>
      <w:i/>
    </w:rPr>
  </w:style>
  <w:style w:type="paragraph" w:styleId="Index">
    <w:basedOn w:val="Normal"/>
  </w:style>
  <w:style w:type="paragraph" w:styleId="Style9">
    <w:basedOn w:val="Normal"/>
    <w:next w:val="Normal"/>
    <w:pPr>
      <w:spacing w:before="152" w:after="160"/>
    </w:pPr>
    <w:rPr>
      <w:rFonts w:ascii="Arial" w:hAnsi="Arial" w:cs="Arial" w:eastAsia="黑体;SimHei"/>
    </w:rPr>
  </w:style>
  <w:style w:type="paragraph" w:styleId="Style10">
    <w:basedOn w:val="Normal"/>
  </w:style>
  <w:style w:type="paragraph" w:styleId="Style11">
    <w:basedOn w:val="Normal"/>
    <w:next w:val="TextBody"/>
    <w:pPr>
      <w:keepNext/>
      <w:spacing w:before="240" w:after="120"/>
    </w:pPr>
    <w:rPr>
      <w:rFonts w:ascii="DejaVu Sans;Arial" w:hAnsi="DejaVu Sans;Arial" w:cs="DejaVu Sans;Arial" w:eastAsia="DejaVu Sans;Arial"/>
      <w:sz w:val="28"/>
      <w:szCs w:val="28"/>
    </w:rPr>
  </w:style>
  <w:style w:type="paragraph" w:styleId="Subtitle">
    <w:basedOn w:val="Normal"/>
    <w:next w:val="Style13"/>
    <w:pPr>
      <w:spacing w:before="624" w:after="0"/>
      <w:ind w:firstLine="879"/>
      <w:jc w:val="center"/>
      <w:outlineLvl w:val="0"/>
    </w:pPr>
    <w:rPr>
      <w:rFonts w:eastAsia="黑体;SimHei"/>
      <w:sz w:val="44"/>
      <w:szCs w:val="44"/>
    </w:rPr>
  </w:style>
  <w:style w:type="paragraph" w:styleId="HeaderandFooter">
    <w:basedOn w:val="Normal"/>
  </w:style>
  <w:style w:type="paragraph" w:styleId="Footer">
    <w:basedOn w:val="Normal"/>
    <w:pPr>
      <w:spacing w:line="240" w:lineRule="atLeast"/>
      <w:jc w:val="left"/>
    </w:pPr>
    <w:rPr>
      <w:rFonts w:eastAsia="·s²Ó©úÅé;Malgun Gothic Semilight"/>
    </w:rPr>
  </w:style>
  <w:style w:type="paragraph" w:styleId="Header">
    <w:basedOn w:val="Normal"/>
    <w:pPr>
      <w:jc w:val="center"/>
    </w:pPr>
  </w:style>
  <w:style w:type="paragraph" w:styleId="Style12">
    <w:pPr>
      <w:widowControl/>
      <w:ind w:left="105" w:hanging="105"/>
      <w:jc w:val="center"/>
    </w:pPr>
    <w:rPr>
      <w:rFonts w:ascii="Times New Roman" w:hAnsi="Times New Roman" w:cs="Times New Roman" w:eastAsia="宋体;SimSun"/>
      <w:sz w:val="15"/>
      <w:szCs w:val="15"/>
      <w:color w:val="auto"/>
    </w:rPr>
  </w:style>
  <w:style w:type="paragraph" w:styleId="Style13">
    <w:basedOn w:val="Normal"/>
    <w:next w:val="Style12"/>
    <w:pPr>
      <w:spacing w:before="312" w:after="312" w:line="280" w:lineRule="atLeast"/>
      <w:jc w:val="center"/>
    </w:pPr>
    <w:rPr>
      <w:rFonts w:eastAsia="仿宋_GB2312;仿宋"/>
      <w:sz w:val="32"/>
      <w:szCs w:val="32"/>
    </w:rPr>
  </w:style>
  <w:style w:type="paragraph" w:styleId="Name">
    <w:basedOn w:val="Style13"/>
    <w:next w:val="DepartCorrespond"/>
    <w:pPr>
      <w:keepNext/>
      <w:spacing w:before="220" w:after="180"/>
      <w:jc w:val="center"/>
    </w:pPr>
    <w:rPr>
      <w:rFonts w:eastAsia="宋体;SimSun"/>
      <w:sz w:val="21"/>
      <w:szCs w:val="21"/>
    </w:rPr>
  </w:style>
  <w:style w:type="paragraph" w:styleId="1">
    <w:basedOn w:val="Normal"/>
    <w:next w:val="Name"/>
    <w:pPr>
      <w:keepNext/>
      <w:spacing w:before="240" w:after="100"/>
    </w:pPr>
    <w:rPr>
      <w:rFonts w:eastAsia="黑体;SimHei"/>
      <w:sz w:val="24"/>
      <w:szCs w:val="20"/>
      <w:b/>
    </w:rPr>
  </w:style>
  <w:style w:type="paragraph" w:styleId="DepartCorrespondhttp">
    <w:basedOn w:val="Style12"/>
    <w:pPr>
      <w:ind w:left="66" w:right="0" w:hanging="66"/>
    </w:pPr>
    <w:rPr>
      <w:sz w:val="16"/>
    </w:rPr>
  </w:style>
  <w:style w:type="paragraph" w:styleId="Style14">
    <w:basedOn w:val="TextBody"/>
  </w:style>
  <w:style w:type="paragraph" w:styleId="Style15">
    <w:basedOn w:val="Normal"/>
    <w:pPr>
      <w:jc w:val="center"/>
    </w:pPr>
    <w:rPr>
      <w:rFonts w:eastAsia="楷体_GB2312;楷体"/>
      <w:sz w:val="21"/>
      <w:szCs w:val="21"/>
    </w:rPr>
  </w:style>
  <w:style w:type="paragraph" w:styleId="Footnote">
    <w:basedOn w:val="Normal"/>
    <w:next w:val="11"/>
    <w:pPr>
      <w:spacing w:before="120" w:after="0" w:line="312" w:lineRule="auto"/>
      <w:ind w:firstLine="267"/>
    </w:pPr>
    <w:rPr>
      <w:sz w:val="15"/>
    </w:rPr>
  </w:style>
  <w:style w:type="paragraph" w:styleId="11">
    <w:basedOn w:val="Footnote"/>
    <w:pPr>
      <w:spacing w:before="0" w:after="0"/>
      <w:ind w:firstLine="297"/>
    </w:pPr>
  </w:style>
  <w:style w:type="paragraph" w:styleId="Style16">
    <w:basedOn w:val="Normal"/>
    <w:pPr/>
  </w:style>
  <w:style w:type="paragraph" w:styleId="Abstract">
    <w:next w:val="Keywords"/>
    <w:pPr>
      <w:widowControl/>
      <w:jc w:val="both"/>
    </w:pPr>
    <w:rPr>
      <w:rFonts w:ascii="Times New Roman" w:hAnsi="Times New Roman" w:cs="Times New Roman" w:eastAsia="宋体;SimSun"/>
      <w:sz w:val="21"/>
      <w:szCs w:val="21"/>
      <w:color w:val="auto"/>
    </w:rPr>
  </w:style>
  <w:style w:type="paragraph" w:styleId="DepartCorrespond">
    <w:basedOn w:val="Style12"/>
    <w:pPr>
      <w:ind w:left="99" w:hanging="99"/>
      <w:jc w:val="center"/>
    </w:pPr>
    <w:rPr>
      <w:sz w:val="15"/>
      <w:szCs w:val="15"/>
    </w:rPr>
  </w:style>
  <w:style w:type="paragraph" w:styleId="Date1">
    <w:basedOn w:val="DepartCorrespond"/>
    <w:next w:val="Normal"/>
    <w:pPr>
      <w:spacing w:before="0" w:after="240"/>
    </w:pPr>
    <w:rPr>
      <w:sz w:val="18"/>
    </w:rPr>
  </w:style>
  <w:style w:type="paragraph" w:styleId="Keywords">
    <w:basedOn w:val="Normal"/>
    <w:next w:val="Style18"/>
    <w:pPr>
      <w:spacing w:before="0" w:after="0"/>
      <w:ind w:left="1332" w:hanging="1332"/>
    </w:pPr>
    <w:rPr>
      <w:rFonts w:eastAsia="宋体;SimSun"/>
      <w:sz w:val="21"/>
      <w:szCs w:val="21"/>
    </w:rPr>
  </w:style>
  <w:style w:type="paragraph" w:styleId="Title1">
    <w:basedOn w:val="Normal"/>
    <w:next w:val="Name"/>
    <w:pPr>
      <w:keepNext/>
      <w:spacing w:before="240" w:after="100"/>
      <w:jc w:val="center"/>
      <w:outlineLvl w:val="0"/>
    </w:pPr>
    <w:rPr>
      <w:rFonts w:eastAsia="黑体;SimHei"/>
      <w:sz w:val="28"/>
      <w:szCs w:val="28"/>
      <w:b/>
    </w:rPr>
  </w:style>
  <w:style w:type="paragraph" w:styleId="Style17">
    <w:basedOn w:val="Date1"/>
    <w:next w:val="TextBody"/>
    <w:pPr>
      <w:spacing w:before="0" w:after="320"/>
      <w:ind w:left="0" w:hanging="0"/>
    </w:pPr>
    <w:rPr>
      <w:rFonts w:ascii="宋体;SimSun" w:hAnsi="宋体;SimSun" w:cs="宋体;SimSun" w:eastAsia="宋体;SimSun"/>
    </w:rPr>
  </w:style>
  <w:style w:type="paragraph" w:styleId="Style18">
    <w:basedOn w:val="TextBody"/>
    <w:next w:val="Style19"/>
    <w:pPr>
      <w:ind w:hanging="0"/>
    </w:pPr>
    <w:rPr>
      <w:rFonts w:eastAsia="宋体;SimSun"/>
      <w:szCs w:val="18"/>
    </w:rPr>
  </w:style>
  <w:style w:type="paragraph" w:styleId="Style19">
    <w:basedOn w:val="Style18"/>
    <w:next w:val="Style17"/>
    <w:pPr>
      <w:ind w:left="772" w:hanging="772"/>
    </w:pPr>
    <w:rPr>
      <w:rFonts w:eastAsia="宋体;SimSun"/>
      <w:szCs w:val="18"/>
    </w:rPr>
  </w:style>
  <w:style w:type="paragraph" w:styleId="12">
    <w:basedOn w:val="Heading2"/>
    <w:rPr>
      <w:sz w:val="18"/>
      <w:b/>
    </w:rPr>
  </w:style>
  <w:style w:type="paragraph" w:styleId="Correspond">
    <w:basedOn w:val="DepartCorrespond"/>
    <w:next w:val="Normal"/>
  </w:style>
  <w:style w:type="paragraph" w:styleId="Information">
    <w:basedOn w:val="Date1"/>
    <w:next w:val="Abstract"/>
    <w:pPr>
      <w:ind w:left="0" w:hanging="0"/>
    </w:pPr>
    <w:rPr>
      <w:b/>
    </w:rPr>
  </w:style>
  <w:style w:type="paragraph" w:styleId="Reference">
    <w:basedOn w:val="Normal"/>
    <w:next w:val="Normal"/>
    <w:pPr>
      <w:spacing w:before="280" w:after="0"/>
      <w:jc w:val="left"/>
      <w:outlineLvl w:val="0"/>
    </w:pPr>
    <w:rPr>
      <w:rFonts w:eastAsia="黑体;SimHei"/>
      <w:b/>
    </w:rPr>
  </w:style>
  <w:style w:type="paragraph" w:styleId="TextofReference">
    <w:pPr>
      <w:widowControl/>
      <w:spacing w:line="260" w:lineRule="exact"/>
      <w:jc w:val="both"/>
    </w:pPr>
    <w:rPr>
      <w:rFonts w:ascii="Times New Roman" w:hAnsi="Times New Roman" w:cs="Times New Roman" w:eastAsia="宋体;SimSun"/>
      <w:sz w:val="15"/>
      <w:szCs w:val="20"/>
      <w:color w:val="auto"/>
    </w:rPr>
  </w:style>
  <w:style w:type="paragraph" w:styleId="TextofReference1">
    <w:pPr>
      <w:widowControl/>
      <w:spacing w:line="260" w:lineRule="exact"/>
      <w:jc w:val="both"/>
    </w:pPr>
    <w:rPr>
      <w:rFonts w:ascii="Times New Roman" w:hAnsi="Times New Roman" w:cs="Times New Roman" w:eastAsia="宋体;SimSun"/>
      <w:sz w:val="15"/>
      <w:szCs w:val="20"/>
      <w:color w:val="auto"/>
    </w:rPr>
  </w:style>
  <w:style w:type="paragraph" w:styleId="Textof">
    <w:basedOn w:val="TextofReference"/>
    <w:pPr>
      <w:ind w:left="258" w:hanging="258"/>
    </w:pPr>
  </w:style>
  <w:style w:type="paragraph" w:styleId="Textof1">
    <w:basedOn w:val="Textof"/>
  </w:style>
  <w:style w:type="paragraph" w:styleId="Style20">
    <w:basedOn w:val="Normal"/>
    <w:pPr>
      <w:spacing w:before="0" w:after="120"/>
    </w:pPr>
  </w:style>
  <w:style w:type="paragraph" w:styleId="Style21">
    <w:basedOn w:val="TextBody"/>
    <w:next w:val="TextBody"/>
    <w:rPr>
      <w:rFonts w:eastAsia="黑体;SimHei"/>
    </w:rPr>
  </w:style>
  <w:style w:type="paragraph" w:styleId="Style22">
    <w:basedOn w:val="Normal"/>
    <w:pPr>
      <w:jc w:val="left"/>
    </w:pPr>
  </w:style>
  <w:style w:type="paragraph" w:styleId="Style23">
    <w:basedOn w:val="Header"/>
    <w:pPr>
      <w:jc w:val="both"/>
    </w:pPr>
  </w:style>
  <w:style w:type="paragraph" w:styleId="Style24">
    <w:basedOn w:val="Style19"/>
    <w:pPr>
      <w:ind w:left="0" w:hanging="0"/>
    </w:pPr>
    <w:rPr>
      <w:b/>
    </w:rPr>
  </w:style>
  <w:style w:type="paragraph" w:styleId="Style25">
    <w:basedOn w:val="Style21"/>
    <w:rPr>
      <w:rFonts w:eastAsia="仿宋_GB2312;仿宋"/>
    </w:rPr>
  </w:style>
  <w:style w:type="paragraph" w:styleId="Style26">
    <w:basedOn w:val="Style21"/>
    <w:next w:val="Reference"/>
    <w:pPr>
      <w:spacing w:before="100" w:after="0"/>
      <w:ind w:hanging="0"/>
    </w:pPr>
    <w:rPr>
      <w:rFonts w:eastAsia="宋体;SimSun"/>
    </w:rPr>
  </w:style>
  <w:style w:type="paragraph" w:styleId="Style27">
    <w:basedOn w:val="Reference"/>
    <w:next w:val="TextBody"/>
    <w:pPr>
      <w:spacing w:before="240" w:after="0"/>
    </w:pPr>
    <w:rPr>
      <w:b/>
    </w:rPr>
  </w:style>
  <w:style w:type="paragraph" w:styleId="Style28">
    <w:basedOn w:val="Normal"/>
    <w:rPr>
      <w:szCs w:val="18"/>
    </w:rPr>
  </w:style>
  <w:style w:type="paragraph" w:styleId="Style29">
    <w:basedOn w:val="Normal"/>
    <w:pPr>
      <w:widowControl/>
      <w:spacing w:before="280" w:after="280"/>
      <w:jc w:val="left"/>
    </w:pPr>
    <w:rPr>
      <w:rFonts w:ascii="宋体;SimSun" w:hAnsi="宋体;SimSun" w:cs="宋体;SimSun"/>
      <w:sz w:val="24"/>
      <w:szCs w:val="24"/>
    </w:rPr>
  </w:style>
  <w:style w:type="paragraph" w:styleId="TableContents">
    <w:basedOn w:val="Normal"/>
    <w:pPr>
      <w:widowControl/>
    </w:pPr>
  </w:style>
  <w:style w:type="paragraph" w:styleId="TableHeading">
    <w:basedOn w:val="TableContents"/>
    <w:pPr>
      <w:jc w:val="center"/>
    </w:pPr>
    <w:rPr>
      <w:b/>
    </w:rPr>
  </w:style>
  <w:style w:type="character" w:styleId="WW8Num1z0">
    <w:rPr>
      <w:color w:val="000000"/>
    </w:rPr>
  </w:style>
  <w:style w:type="character" w:styleId="WW8Num2z0"/>
  <w:style w:type="character" w:styleId="WW8Num2z1"/>
  <w:style w:type="character" w:styleId="WW8Num3z0">
    <w:rPr>
      <w:rFonts w:ascii="Times New Roman" w:hAnsi="Times New Roman" w:cs="Times New Roman"/>
      <w:sz w:val="21"/>
      <w:b/>
      <w:i/>
    </w:rPr>
  </w:style>
  <w:style w:type="character" w:styleId="WW8Num3z1">
    <w:rPr>
      <w:rFonts w:ascii="Times New Roman" w:hAnsi="Times New Roman" w:cs="Times New Roman"/>
      <w:sz w:val="18"/>
      <w:b/>
      <w:i/>
    </w:rPr>
  </w:style>
  <w:style w:type="character" w:styleId="WW8Num3z2">
    <w:rPr>
      <w:rFonts w:ascii="Times New Roman" w:hAnsi="Times New Roman" w:cs="Times New Roman"/>
      <w:sz w:val="18"/>
      <w:b/>
      <w:i/>
    </w:rPr>
  </w:style>
  <w:style w:type="character" w:styleId="WW8Num3z4"/>
  <w:style w:type="character" w:styleId="WW8Num4z0">
    <w:rPr>
      <w:sz w:val="15"/>
      <w:szCs w:val="15"/>
    </w:rPr>
  </w:style>
  <w:style w:type="character" w:styleId="WW8Num5z0">
    <w:rPr>
      <w:rFonts w:ascii="Times New Roman" w:hAnsi="Times New Roman" w:cs="Times New Roman" w:eastAsia="宋体;SimSun"/>
      <w:sz w:val="15"/>
      <w:b/>
      <w:i/>
    </w:rPr>
  </w:style>
  <w:style w:type="character" w:styleId="WW8Num6z0"/>
  <w:style w:type="character" w:styleId="WW8Num7z0"/>
  <w:style w:type="character" w:styleId="WW8Num8z0"/>
  <w:style w:type="character" w:styleId="WW8Num9z0"/>
  <w:style w:type="character" w:styleId="WW8Num10z0">
    <w:rPr>
      <w:rFonts w:ascii="宋体;SimSun" w:hAnsi="宋体;SimSun" w:cs="宋体;SimSun"/>
      <w:b/>
    </w:rPr>
  </w:style>
  <w:style w:type="character" w:styleId="WW8Num11z0">
    <w:rPr>
      <w:rFonts w:ascii="Times New Roman" w:hAnsi="Times New Roman" w:cs="Times New Roman"/>
    </w:rPr>
  </w:style>
  <w:style w:type="character" w:styleId="Style5"/>
  <w:style w:type="character" w:styleId="WW8Num1z1">
    <w:rPr>
      <w:rFonts w:ascii="Times New Roman" w:hAnsi="Times New Roman" w:cs="Times New Roman"/>
      <w:sz w:val="18"/>
      <w:b/>
      <w:i/>
    </w:rPr>
  </w:style>
  <w:style w:type="character" w:styleId="WW8Num1z2">
    <w:rPr>
      <w:rFonts w:ascii="Times New Roman" w:hAnsi="Times New Roman" w:cs="Times New Roman"/>
      <w:sz w:val="18"/>
      <w:b/>
      <w:i/>
    </w:rPr>
  </w:style>
  <w:style w:type="character" w:styleId="AbsatzStandardschriftart"/>
  <w:style w:type="character" w:styleId="WWAbsatzStandardschriftart"/>
  <w:style w:type="character" w:styleId="WW"/>
  <w:style w:type="character" w:styleId="WWAbsatzStandardschriftart1"/>
  <w:style w:type="character" w:styleId="WWAbsatzStandardschriftart11"/>
  <w:style w:type="character" w:styleId="WWAbsatzStandardschriftart111"/>
  <w:style w:type="character" w:styleId="WW1"/>
  <w:style w:type="character" w:styleId="WW8Num4z1">
    <w:rPr>
      <w:rFonts w:ascii="Times New Roman" w:hAnsi="Times New Roman" w:cs="Times New Roman"/>
      <w:sz w:val="18"/>
      <w:b/>
      <w:i/>
    </w:rPr>
  </w:style>
  <w:style w:type="character" w:styleId="WW8Num4z2">
    <w:rPr>
      <w:rFonts w:ascii="Times New Roman" w:hAnsi="Times New Roman" w:cs="Times New Roman"/>
      <w:sz w:val="18"/>
      <w:b/>
      <w:i/>
    </w:rPr>
  </w:style>
  <w:style w:type="character" w:styleId="WW11"/>
  <w:style w:type="character" w:styleId="CharChar12">
    <w:basedOn w:val="WW11"/>
    <w:rPr>
      <w:rFonts w:eastAsia="·s²Ó©úÅé;Malgun Gothic Semilight"/>
      <w:sz w:val="18"/>
    </w:rPr>
  </w:style>
  <w:style w:type="character" w:styleId="CharChar11">
    <w:basedOn w:val="WW11"/>
    <w:rPr>
      <w:rFonts w:eastAsia="宋体;SimSun"/>
      <w:sz w:val="18"/>
    </w:rPr>
  </w:style>
  <w:style w:type="character" w:styleId="CharChar10">
    <w:basedOn w:val="WW11"/>
    <w:rPr>
      <w:rFonts w:eastAsia="黑体;SimHei"/>
      <w:sz w:val="36"/>
    </w:rPr>
  </w:style>
  <w:style w:type="character" w:styleId="Char">
    <w:basedOn w:val="WW11"/>
    <w:rPr>
      <w:rFonts w:eastAsia="宋体;SimSun"/>
      <w:sz w:val="18"/>
    </w:rPr>
  </w:style>
  <w:style w:type="character" w:styleId="Style6"/>
  <w:style w:type="character" w:styleId="Style7">
    <w:rPr>
      <w:rFonts w:ascii="OpenSymbol;Courier New" w:hAnsi="OpenSymbol;Courier New" w:cs="OpenSymbol;Courier New" w:eastAsia="OpenSymbol;Courier New"/>
    </w:rPr>
  </w:style>
  <w:style w:type="character" w:styleId="InternetLink">
    <w:rPr>
      <w:color w:val="000080"/>
      <w:u w:val="single"/>
    </w:rPr>
  </w:style>
  <w:style w:type="character" w:styleId="1Char">
    <w:basedOn w:val="Style5"/>
    <w:rPr>
      <w:rFonts w:eastAsia="宋体;SimSun"/>
      <w:sz w:val="15"/>
    </w:rPr>
  </w:style>
  <w:style w:type="character" w:styleId="Shorttext1">
    <w:basedOn w:val="Style5"/>
    <w:rPr>
      <w:sz w:val="19"/>
      <w:szCs w:val="19"/>
    </w:rPr>
  </w:style>
  <w:style w:type="character" w:styleId="Mediumtext1">
    <w:basedOn w:val="Style5"/>
    <w:rPr>
      <w:sz w:val="16"/>
      <w:szCs w:val="16"/>
    </w:rPr>
  </w:style>
  <w:style w:type="character" w:styleId="Datatitle1">
    <w:basedOn w:val="Style5"/>
    <w:rPr>
      <w:sz w:val="13"/>
      <w:szCs w:val="13"/>
      <w:color w:val="10619F"/>
      <w:b/>
    </w:rPr>
  </w:style>
  <w:style w:type="character" w:styleId="StrongEmphasis">
    <w:basedOn w:val="Style5"/>
    <w:rPr>
      <w:b/>
    </w:rPr>
  </w:style>
  <w:style w:type="character" w:styleId="AbstractChar">
    <w:basedOn w:val="Style5"/>
    <w:rPr>
      <w:rFonts w:eastAsia="楷体_GB2312;楷体"/>
      <w:sz w:val="18"/>
    </w:rPr>
  </w:style>
  <w:style w:type="character" w:styleId="KeywordsChar">
    <w:basedOn w:val="Style5"/>
    <w:rPr>
      <w:rFonts w:eastAsia="楷体_GB2312;楷体"/>
      <w:sz w:val="18"/>
    </w:rPr>
  </w:style>
  <w:style w:type="character" w:styleId="Char1">
    <w:basedOn w:val="Char"/>
    <w:rPr>
      <w:rFonts w:eastAsia="楷体_GB2312;楷体"/>
    </w:rPr>
  </w:style>
  <w:style w:type="character" w:styleId="Char2">
    <w:basedOn w:val="Char1"/>
  </w:style>
  <w:style w:type="character" w:styleId="CharChar2">
    <w:basedOn w:val="Style5"/>
    <w:rPr>
      <w:rFonts w:eastAsia="黑体;SimHei"/>
      <w:sz w:val="18"/>
    </w:rPr>
  </w:style>
  <w:style w:type="character" w:styleId="FootnoteCharacters">
    <w:basedOn w:val="Style5"/>
    <w:rPr>
      <w:rFonts w:ascii="Monotype Sorts;MT Extra" w:hAnsi="Monotype Sorts;MT Extra" w:cs="Monotype Sorts;MT Extra" w:eastAsia="宋体;SimSun"/>
      <w:sz w:val="11"/>
      <w:spacing w:val="0"/>
    </w:rPr>
  </w:style>
  <w:style w:type="character" w:styleId="Style8">
    <w:basedOn w:val="Style5"/>
    <w:rPr>
      <w:sz w:val="21"/>
      <w:szCs w:val="21"/>
    </w:rPr>
  </w:style>
  <w:style w:type="character" w:styleId="EndnoteCharacters">
    <w:basedOn w:val="Style5"/>
  </w:style>
  <w:style w:type="character" w:styleId="Emphasis">
    <w:basedOn w:val="Style5"/>
    <w:rPr>
      <w:color w:val="CC0033"/>
      <w:b/>
      <w:i/>
    </w:rPr>
  </w:style>
  <w:style w:type="character" w:styleId="CharChar1">
    <w:basedOn w:val="Style5"/>
    <w:rPr>
      <w:sz w:val="18"/>
    </w:rPr>
  </w:style>
  <w:style w:type="character" w:styleId="CharChar">
    <w:basedOn w:val="Style5"/>
    <w:rPr>
      <w:sz w:val="18"/>
      <w:szCs w:val="18"/>
    </w:rPr>
  </w:style>
  <w:style w:type="character" w:styleId="PageNumber">
    <w:basedOn w:val="Style5"/>
  </w:style>
  <w:style w:type="character" w:styleId="FootnoteAnchor"/>
  <w:style w:type="character" w:styleId="EndnoteAnchor"/>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2026-06-12T02:17:21.600Z</dcterms:created>
  <dcterms:modified xsi:type="dcterms:W3CDTF">2026-06-12T02:17:21.601Z</dcterms:modified>
</cp:coreProperties>
</file>

<file path=docProps/custom.xml><?xml version="1.0" encoding="utf-8"?>
<Properties xmlns="http://schemas.openxmlformats.org/officeDocument/2006/custom-properties" xmlns:vt="http://schemas.openxmlformats.org/officeDocument/2006/docPropsVTypes"/>
</file>