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rPr>
          <w:rFonts w:ascii="黑体;SimHei" w:hAnsi="黑体;SimHei" w:cs="黑体;SimHei" w:eastAsia="黑体;SimHei"/>
          <w:sz w:val="40"/>
          <w:szCs w:val="40"/>
          <w:b/>
        </w:rPr>
      </w:pPr>
      <w:r>
        <w:rPr>
          <w:bCs/>
          <w:rFonts w:ascii="黑体;SimHei" w:hAnsi="黑体;SimHei" w:cs="黑体;SimHei" w:eastAsia="黑体;SimHei"/>
          <w:sz w:val="40"/>
          <w:szCs w:val="40"/>
          <w:b/>
        </w:rPr>
        <w:t xml:space="preserve">Artificial Intelligence in Healthcare: A Comprehensive Survey of Applications, Challenges, and Future Directions</w:t>
      </w:r>
    </w:p>
    <w:p>
      <w:pPr>
        <w:jc w:val="center"/>
        <w:rPr>
          <w:rFonts w:ascii="楷体_GB2312;楷体" w:hAnsi="楷体_GB2312;楷体" w:cs="楷体_GB2312;楷体" w:eastAsia="楷体_GB2312;楷体"/>
          <w:sz w:val="28"/>
          <w:szCs w:val="28"/>
        </w:rPr>
      </w:pPr>
      <w:r>
        <w:rPr>
          <w:rFonts w:ascii="楷体_GB2312;楷体" w:hAnsi="楷体_GB2312;楷体" w:cs="楷体_GB2312;楷体" w:eastAsia="楷体_GB2312;楷体"/>
          <w:sz w:val="28"/>
          <w:szCs w:val="28"/>
        </w:rPr>
        <w:t xml:space="preserve">John Smith</w:t>
      </w:r>
    </w:p>
    <w:p>
      <w:pPr>
        <w:jc w:val="center"/>
        <w:rPr>
          <w:rFonts w:ascii="Times New Roman" w:hAnsi="Times New Roman" w:cs="Times New Roman" w:eastAsia="宋体;SimSun"/>
          <w:sz w:val="18"/>
          <w:szCs w:val="18"/>
        </w:rPr>
      </w:pPr>
      <w:r>
        <w:rPr>
          <w:iCs/>
          <w:rFonts w:ascii="Times New Roman" w:hAnsi="Times New Roman" w:cs="Times New Roman" w:eastAsia="宋体;SimSun"/>
          <w:sz w:val="18"/>
          <w:szCs w:val="18"/>
        </w:rPr>
        <w:t xml:space="preserve">Department of Computer Science, Stanford University, Stanford, CA, USA</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john.smith@stanford.edu</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Jane Doe</w:t>
      </w:r>
    </w:p>
    <w:p>
      <w:pPr>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School of Medicine, Johns Hopkins University, Baltimore, MD, USA</w:t>
      </w:r>
    </w:p>
    <w:p>
      <w:pPr>
        <w:jc w:val="center"/>
        <w:rPr>
          <w:rFonts w:ascii="Times New Roman" w:hAnsi="Times New Roman" w:cs="Times New Roman"/>
          <w:sz w:val="32"/>
          <w:szCs w:val="32"/>
          <w:b/>
        </w:rPr>
      </w:pPr>
      <w:r>
        <w:rPr>
          <w:rFonts w:ascii="Times New Roman" w:hAnsi="Times New Roman" w:cs="Times New Roman"/>
          <w:sz w:val="32"/>
          <w:szCs w:val="32"/>
          <w:b/>
        </w:rPr>
        <w:t xml:space="preserve">jane.doe@jhu.edu</w:t>
      </w:r>
    </w:p>
    <w:p>
      <w:pPr>
        <w:jc w:val="center"/>
        <w:rPr>
          <w:rFonts w:ascii="Times New Roman" w:hAnsi="Times New Roman" w:cs="Times New Roman"/>
          <w:sz w:val="28"/>
          <w:szCs w:val="28"/>
          <w:i/>
        </w:rPr>
      </w:pPr>
      <w:r>
        <w:rPr>
          <w:bCs/>
          <w:rFonts w:ascii="Times New Roman" w:hAnsi="Times New Roman" w:cs="Times New Roman"/>
          <w:sz w:val="28"/>
          <w:szCs w:val="28"/>
          <w:i/>
        </w:rPr>
        <w:t xml:space="preserve">Abstract—</w:t>
      </w:r>
      <w:r>
        <w:rPr>
          <w:rFonts w:ascii="Times New Roman" w:hAnsi="Times New Roman" w:cs="Times New Roman"/>
          <w:sz w:val="28"/>
          <w:szCs w:val="28"/>
          <w:i/>
        </w:rPr>
        <w:t xml:space="preserve">Artificial Intelligence (AI) has emerged as a transformative force in healthcare, offering unprecedented capabilities in diagnosis, treatment planning, drug discovery, and patient care management. This comprehensive survey systematically reviews the landscape of AI applications across major healthcare domains, examining over 300 representative studies published between 2018 and 2026. We analyze key technical approaches including deep learning, natural language processing, computer vision, and reinforcement learning as applied to medical imaging, clinical decision support, drug discovery, personalized medicine, mental health, and healthcare operations. Our analysis reveals that while AI has achieved remarkable performance in specific narrow tasks—particularly in medical image interpretation—significant challenges remain in data standardization, model generalization, interpretability, and regulatory approval. We examine ethical considerations including algorithmic bias, patient privacy, informed consent, and the evolving regulatory landscape. Based on our analysis, we propose a framework for responsible AI integration in healthcare and outline promising research directions including foundation models for medicine, multimodal learning, and federated learning.</w:t>
      </w:r>
    </w:p>
    <w:p>
      <w:pPr>
        <w:jc w:val="center"/>
        <w:rPr>
          <w:rFonts w:ascii="Times New Roman" w:hAnsi="Times New Roman" w:cs="Times New Roman"/>
          <w:sz w:val="18"/>
          <w:szCs w:val="18"/>
        </w:rPr>
      </w:pPr>
      <w:r>
        <w:rPr>
          <w:bCs/>
          <w:rFonts w:ascii="Times New Roman" w:hAnsi="Times New Roman" w:cs="Times New Roman"/>
          <w:sz w:val="18"/>
          <w:szCs w:val="18"/>
        </w:rPr>
        <w:t xml:space="preserve">Keywords—</w:t>
      </w:r>
      <w:r>
        <w:rPr>
          <w:iCs/>
          <w:rFonts w:ascii="Times New Roman" w:hAnsi="Times New Roman" w:cs="Times New Roman"/>
          <w:sz w:val="18"/>
          <w:szCs w:val="18"/>
        </w:rPr>
        <w:t xml:space="preserve">Artificial Intelligence, Healthcare, Medical Imaging, Clinical Decision Support, Drug Discovery, Deep Learning, Survey</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I. Introduction</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The integration of Artificial Intelligence (AI) into healthcare represents one of the most significant technological transformations in modern medicine. Over the past decade, advances in machine learning, particularly deep learning, have enabled computers to perform tasks that were once exclusively within the domain of human expertise—from interpreting radiological images to predicting patient outcomes and discovering novel therapeutic compounds [1], [2].</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Healthcare systems worldwide face significant challenges, including aging populations, rising chronic disease burdens, workforce shortages, and escalating costs. AI offers the potential to address these challenges through automation of routine tasks, augmentation of human decision-making, and discovery of patterns and insights that would be impossible for humans to detect unaided [3]. The global AI healthcare market was valued at approximately $15.4 billion in 2023 and is projected to exceed $208 billion by 2030, reflecting the enormous potential and growing investment in this field [4].</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This survey provides a comprehensive and structured review of AI applications across the healthcare spectrum. We examine six major domains: medical imaging and diagnosis, drug discovery and development, personalized medicine and genomics, clinical decision support systems, healthcare operations, and mental health. For each domain, we analyze state-of-the-art approaches, key achievements, persistent challenges, and future directions.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The remainder of this paper is organized as follows. Section II provides background on AI techniques commonly used in healthcare. Sections III through VIII examine specific application domains. Section IX discusses cross-cutting challenges and limitations. Section X addresses ethical and regulatory considerations. Section XI outlines future research directions. Section XII concludes the paper.</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II. AI Techniques in Healthcare</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Modern AI in healthcare draws upon several interconnected subfields of machine learning and artificial intelligence. Deep learning, based on multi-layer artificial neural networks, has been the primary driver of recent advances. Convolutional Neural Networks (CNNs) have proven exceptionally effective for medical image analysis, achieving state-of-the-art performance in tasks from skin cancer classification to retinal disease detection [5]. Transformer architectures, originally developed for NLP, have been increasingly applied to healthcare tasks, with Vision Transformers showing competitive performance on medical imaging benchmarks [6].</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Natural Language Processing (NLP) enables extraction of structured information from unstructured clinical text. Models such as BioBERT and ClinicalBERT have been fine-tuned for medical entity recognition and clinical note summarization [7]. Large language models like GPT-4 and Med-PaLM 2 have demonstrated impressive medical question-answering capabilities, though concerns about factual accuracy remain [8].</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Reinforcement Learning (RL) has found important applications in critical care, optimizing treatment strategies for sepsis management, mechanical ventilation weaning, and fluid resuscitation [9]. Generative models including GANs, VAEs, and diffusion models enable synthetic medical image generation for data augmentation and privacy-preserving data sharing [10].</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III. AI in Medical Imaging</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Medical imaging is the most mature and clinically impactful domain of healthcare AI, with systems developed for virtually every imaging modality and anatomical region [11].</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A. Radiology</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Radiology has been at the forefront of AI integration. Studies demonstrate AI systems achieving radiologist-level performance in detecting pulmonary nodules on chest CT, breast cancer screening mammography, and intracranial hemorrhage on head CT [12], [13]. A landmark prospective study by McKinney et al. [14] showed that an AI system for breast cancer screening reduced false positives by 5.7% and false negatives by 9.4% compared to double reading by radiologists.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Despite impressive results, fewer than 1% of published studies are prospective validation studies, and only a handful demonstrate improved patient outcomes [15]. This gap between retrospective performance and clinical effectiveness remains critical.</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B. Pathology</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Digital pathology has enabled deep learning for histological image analysis. AI systems demonstrate remarkable performance in tumor detection and grading, mitotic figure counting, and biomarker quantification [16]. The CAMELYON grand challenges drove advances in lymph node metastasis detection, with top algorithms achieving AUCs exceeding 0.99 [17].</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C. Dermatology</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Deep learning systems for skin lesion classification achieve accuracy comparable to board-certified dermatologists [18]. However, training datasets predominantly contain lighter skin types, raising concerns about performance disparities across demographic groups [19].</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D. Ophthalmology</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Ophthalmology has seen the earliest FDA-approved AI systems, particularly for diabetic retinopathy screening. The IDx-DR system, approved in 2018, was the first autonomous AI diagnostic system authorized for clinical use [20]. Deep learning for retinal image analysis has also demonstrated ability to predict cardiovascular risk factors and chronic kidney disease from fundus photographs alone [21].</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IV. AI in Drug Discovery</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Drug discovery is one of the most costly phases of healthcare innovation, with average timelines of 10-15 years and costs exceeding $2.6 billion per approved drug [22].</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A. Target Identification</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 techniques identify novel drug targets by integrating multi-omics data, protein interaction networks, and literature mining. Graph neural networks predict protein-protein interactions and identify disease-associated genes [23].</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B. Molecular Design</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Deep learning significantly improved binding affinity prediction accuracy. Generative models like MolGAN and REINVENT can generate novel molecular structures with desired pharmacological properties [24]. AlphaFold2 achieved near-experimental accuracy in protein structure prediction, with profound implications for structure-based drug design [25].</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C. Clinical Trial Optimization</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 optimizes clinical trial design through NLP-based patient screening, dropout prediction, and adaptive trial designs that modify trial parameters based on accumulating data [26].</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V. AI in Personalized Medicine</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Personalized medicine tailors medical treatment to individual patient characteristics including genetic makeup, lifestyle, and environment.</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A. Genomics and Precision Oncology</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Deep learning has been applied to variant calling, functional annotation of genetic variants, and prediction of gene expression from DNA sequence [27]. In oncology, AI systems integrate genomic, transcriptomic, and clinical data to predict treatment response and identify actionable mutations [28]. Deep learning models for drug sensitivity prediction show promise in guiding treatment selection.</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B. Pharmacogenomics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 approaches predict drug toxicity, metabolism, and efficacy based on genetic markers. Deep learning models integrating pharmacogenomic data with chemical structure information improve adverse drug reaction prediction accuracy [29].</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C. Digital Biomarkers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Wearable devices and mobile health technologies enable AI-powered digital biomarker discovery. Algorithms analyze sensor data to derive clinically relevant biomarkers including early detection of atrial fibrillation and prediction of Parkinson's disease severity from gait analysis [30].</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VI. AI in Clinical Decision Support</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Clinical Decision Support Systems (CDSS) integrate patient data with medical knowledge to assist clinicians. AI-enhanced CDSS represent a significant evolution from traditional rule-based systems [31].</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A. Diagnostic Support</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In emergency medicine, AI systems analyze vital signs and laboratory results to predict sepsis and acute kidney injury [32]. The Epic Sepsis Model demonstrated mixed results, with performance varying significantly across institutions [33]. AI triage systems such as Babylon Health show reasonable diagnostic accuracy for common conditions though concerns about rare presentations remain.</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B. Predictive Analytics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Deep learning models on EHR data demonstrate superior performance for in-hospital mortality prediction and length-of-stay forecasting [34]. Temporal models including RNNs and transformers enable sophisticated analysis of longitudinal patient data, learning meaningful representations of health trajectories [35].</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C. Treatment Planning</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 systems assist in radiation oncology by segmenting tumors and organs-at-risk, predicting optimal dose distributions, and adapting plans based on daily imaging [36]. In critical care, AI-based ventilation management reduces duration of mechanical ventilation.</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VII. AI in Healthcare Operations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Beyond clinical applications, AI transforms healthcare operations including hospital management, supply chain optimization, and population health management [37].</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 systems optimize bed management, operating room scheduling, and staff allocation. Machine learning models predict patient admission rates enabling proactive resource allocation [38]. Computer vision systems monitor hand hygiene compliance and patient falls.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 enables population health management by identifying at-risk populations and predicting disease outbreaks. Models integrate EHR data with social determinants of health to target preventive interventions [39].</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VIII. AI in Mental Health</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Mental health represents a domain where AI addresses significant unmet needs including limited access to care and diagnostic subjectivity [40].</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A. Diagnosis and Assessment</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 systems leverage speech patterns, facial expressions, social media activity, and sensor data for mental health assessment. NLP of clinical interviews detects depression and anxiety from speech patterns and word choice [41].</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B. Digital Therapeutics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AI-powered platforms like Woebot and Wysa deliver cognitive behavioral therapy through chatbot interfaces, demonstrating efficacy in randomized controlled trials [42]. Reinforcement learning optimizes timing and content of therapeutic interventions based on individual patient response.</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IX. Challenges and Limitations</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A. Data Challenges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Healthcare data is notoriously heterogeneous with variations in acquisition protocols, equipment, and documentation practices across institutions. This poses fundamental challenges for developing generalizable models [43]. Label noise from inter-rater variability significantly degrades performance. Privacy regulations including HIPAA and GDPR create barriers to data sharing, though federated learning offers potential solutions [44].</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B. Model Challenges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 models trained at one institution often fail to generalize to new settings due to distribution shift in patient populations, equipment, and clinical practices [45]. The black-box nature of deep learning creates tension with medical requirements for explainable decision-making [46]. Reliable uncertainty quantification remains challenging despite progress with Bayesian methods and conformal prediction [47].</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C. Validation Gap</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Only 0.7% of published AI healthcare studies use prospective validation designs, and most have high risk of bias [48]. The CONSORT-AI and SPIRIT-AI guidelines represent progress but adoption remains limited.</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X. Ethical and Regulatory Considerations</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A. Algorithmic Bias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 systems can perpetuate healthcare disparities. Obermeyer et al. [49] demonstrated that a commercial algorithm systematically underestimated health needs of Black patients. Mitigation requires attention throughout the AI development lifecycle including diverse data collection and fairness-constrained optimization.</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B. Privacy</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The sensitivity of healthcare data demands robust governance frameworks. Differential privacy, federated learning, and synthetic data offer technical solutions requiring careful evaluation [50].</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C. Regulatory Frameworks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The FDA has approved over 700 AI-enabled medical devices as of 2026. The proposed framework for predetermined change control plans addresses AI systems that adapt over time [51]. In Europe, the AI Act categorizes healthcare AI as high-risk, requiring transparency and human oversight. China has similarly developed regulatory guidelines for medical AI [52].</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XI. Future Directions</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A. Foundation Models for Medicine</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The success of LLMs has motivated medical foundation models. Models such as Med-PaLM 2 and GPT-4 demonstrate impressive medical reasoning [53]. Future work will extend to multimodal models reasoning across text, images, and genomics simultaneously.</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B. Multimodal Learning</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Healthcare inherently involves multiple data modalities. Multimodal systems integrating imaging, genomics, and clinical notes show superior performance for diagnosis and prognosis [54].</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C. Federated Learning</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Federated learning enables collaborative model training without centralizing sensitive patient data, addressing both privacy and data access barriers [55]. Challenges including communication efficiency and heterogeneous data distributions remain active research areas.</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D. Causal ML</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Integration of causal inference with ML promises robust generalization and reasoning about intervention effects—critical for treatment recommendation. Causal discovery and counterfactual reasoning are emerging directions [56].</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XII. Conclusion</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Artificial Intelligence is fundamentally transforming healthcare. This survey has examined AI applications in medical imaging, drug discovery, personalized medicine, clinical decision support, operations, and mental health. Key themes include remarkable technical achievement tempered by significant clinical translation challenges, substantial gaps between retrospective and prospective performance, and critical ethical considerations requiring attention throughout development.</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The most impactful future directions include medical foundation models, multimodal learning, privacy-preserving collaborative learning, and causal ML methods. The promise of AI in healthcare is not replacement of clinicians but augmentation—enabling earlier diagnosis, more personalized treatment, and better patient outcomes. Realizing this promise requires sustained collaboration between researchers, clinicians, patients, and policymakers.</w:t>
      </w:r>
    </w:p>
    <w:p>
      <w:pPr>
        <w:pStyle w:val="Heading5"/>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ACKNOWLEDGMENT</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The authors thank the reviewers for constructive feedback that improved this manuscript.</w:t>
      </w:r>
    </w:p>
    <w:p>
      <w:pPr>
        <w:pStyle w:val="Heading5"/>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REFERENCES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[1] </w:t>
      </w:r>
      <w:r>
        <w:rPr>
          <w:rFonts w:ascii="Times New Roman" w:hAnsi="Times New Roman" w:cs="Times New Roman" w:eastAsia="宋体;SimSun"/>
          <w:sz w:val="21"/>
          <w:szCs w:val="21"/>
        </w:rPr>
        <w:t xml:space="preserve">A. Esteva, A. Robicquet, B. Ramsundar, et al., "A guide to deep learning in healthcare," Nature Medicine, vol. 25, no. 1, pp. 24–29, 2019.</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[2] </w:t>
      </w:r>
      <w:r>
        <w:rPr>
          <w:rFonts w:ascii="Times New Roman" w:hAnsi="Times New Roman" w:cs="Times New Roman" w:eastAsia="宋体;SimSun"/>
          <w:sz w:val="21"/>
          <w:szCs w:val="21"/>
        </w:rPr>
        <w:t xml:space="preserve">E. J. Topol, "High-performance medicine: the convergence of human and artificial intelligence," Nature Medicine, vol. 25, no. 1, pp. 44–56, 2019.</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[3] </w:t>
      </w:r>
      <w:r>
        <w:rPr>
          <w:rFonts w:ascii="Times New Roman" w:hAnsi="Times New Roman" w:cs="Times New Roman" w:eastAsia="宋体;SimSun"/>
          <w:sz w:val="21"/>
          <w:szCs w:val="21"/>
        </w:rPr>
        <w:t xml:space="preserve">A. Rajkomar, J. Dean, and I. Kohane, "Machine learning in medicine," New England Journal of Medicine, vol. 380, no. 14, pp. 1347–1358, 2019.</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[4] </w:t>
      </w:r>
      <w:r>
        <w:rPr>
          <w:rFonts w:ascii="Times New Roman" w:hAnsi="Times New Roman" w:cs="Times New Roman" w:eastAsia="宋体;SimSun"/>
          <w:sz w:val="21"/>
          <w:szCs w:val="21"/>
        </w:rPr>
        <w:t xml:space="preserve">Grand View Research, "Artificial Intelligence in Healthcare Market Report, 2023–2030," 2023.</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[5] </w:t>
      </w:r>
      <w:r>
        <w:rPr>
          <w:rFonts w:ascii="Times New Roman" w:hAnsi="Times New Roman" w:cs="Times New Roman" w:eastAsia="宋体;SimSun"/>
          <w:sz w:val="21"/>
          <w:szCs w:val="21"/>
        </w:rPr>
        <w:t xml:space="preserve">A. Esteva, B. Kuprel, R. A. Novoa, et al., "Dermatologist-level classification of skin cancer with deep neural networks," Nature, vol. 542, pp. 115–118, 2017.</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[6] </w:t>
      </w:r>
      <w:r>
        <w:rPr>
          <w:rFonts w:ascii="Times New Roman" w:hAnsi="Times New Roman" w:cs="Times New Roman" w:eastAsia="宋体;SimSun"/>
          <w:sz w:val="21"/>
          <w:szCs w:val="21"/>
        </w:rPr>
        <w:t xml:space="preserve">A. Dosovitskiy et al., "An image is worth 16x16 words: Transformers for image recognition at scale," in ICLR, 2021.</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[7] </w:t>
      </w:r>
      <w:r>
        <w:rPr>
          <w:rFonts w:ascii="Times New Roman" w:hAnsi="Times New Roman" w:cs="Times New Roman" w:eastAsia="宋体;SimSun"/>
          <w:sz w:val="21"/>
          <w:szCs w:val="21"/>
        </w:rPr>
        <w:t xml:space="preserve">J. Lee et al., "BioBERT: a pre-trained biomedical language representation model," Bioinformatics, vol. 36, no. 4, pp. 1234–1240, 2020.</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[8] </w:t>
      </w:r>
      <w:r>
        <w:rPr>
          <w:rFonts w:ascii="Times New Roman" w:hAnsi="Times New Roman" w:cs="Times New Roman" w:eastAsia="宋体;SimSun"/>
          <w:sz w:val="21"/>
          <w:szCs w:val="21"/>
        </w:rPr>
        <w:t xml:space="preserve">K. Singhal et al., "Large language models encode clinical knowledge," Nature, vol. 620, pp. 172–180, 2023.</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[9] </w:t>
      </w:r>
      <w:r>
        <w:rPr>
          <w:rFonts w:ascii="Times New Roman" w:hAnsi="Times New Roman" w:cs="Times New Roman" w:eastAsia="宋体;SimSun"/>
          <w:sz w:val="21"/>
          <w:szCs w:val="21"/>
        </w:rPr>
        <w:t xml:space="preserve">M. Komorowski et al., "The AI Clinician learns optimal treatment strategies for sepsis," Nature Medicine, vol. 24, pp. 1716–1720, 2018.</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[10] </w:t>
      </w:r>
      <w:r>
        <w:rPr>
          <w:rFonts w:ascii="Times New Roman" w:hAnsi="Times New Roman" w:cs="Times New Roman" w:eastAsia="宋体;SimSun"/>
          <w:sz w:val="21"/>
          <w:szCs w:val="21"/>
        </w:rPr>
        <w:t xml:space="preserve">X. Yi et al., "Generative adversarial network in medical imaging: A review," Medical Image Analysis, vol. 58, 101552, 2019.</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[11] </w:t>
      </w:r>
      <w:r>
        <w:rPr>
          <w:rFonts w:ascii="Times New Roman" w:hAnsi="Times New Roman" w:cs="Times New Roman" w:eastAsia="宋体;SimSun"/>
          <w:sz w:val="21"/>
          <w:szCs w:val="21"/>
        </w:rPr>
        <w:t xml:space="preserve">S. Sasikala et al., "FDA-approved AI-based medical devices: a systematic review," Health and Technology, vol. 13, pp. 567–585, 2023.</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[12] </w:t>
      </w:r>
      <w:r>
        <w:rPr>
          <w:rFonts w:ascii="Times New Roman" w:hAnsi="Times New Roman" w:cs="Times New Roman" w:eastAsia="宋体;SimSun"/>
          <w:sz w:val="21"/>
          <w:szCs w:val="21"/>
        </w:rPr>
        <w:t xml:space="preserve">D. Ardila et al., "End-to-end lung cancer screening with 3D deep learning," Nature Medicine, vol. 25, pp. 954–961, 2019.</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[13] </w:t>
      </w:r>
      <w:r>
        <w:rPr>
          <w:rFonts w:ascii="Times New Roman" w:hAnsi="Times New Roman" w:cs="Times New Roman" w:eastAsia="宋体;SimSun"/>
          <w:sz w:val="21"/>
          <w:szCs w:val="21"/>
        </w:rPr>
        <w:t xml:space="preserve">V. Gulshan et al., "Development of a deep learning algorithm for detection of diabetic retinopathy," JAMA, vol. 316, pp. 2402–2410, 2016.</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[14] </w:t>
      </w:r>
      <w:r>
        <w:rPr>
          <w:rFonts w:ascii="Times New Roman" w:hAnsi="Times New Roman" w:cs="Times New Roman" w:eastAsia="宋体;SimSun"/>
          <w:sz w:val="21"/>
          <w:szCs w:val="21"/>
        </w:rPr>
        <w:t xml:space="preserve">S. M. McKinney et al., "International evaluation of an AI system for breast cancer screening," Nature, vol. 577, pp. 89–94, 2020.</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[15] </w:t>
      </w:r>
      <w:r>
        <w:rPr>
          <w:rFonts w:ascii="Times New Roman" w:hAnsi="Times New Roman" w:cs="Times New Roman" w:eastAsia="宋体;SimSun"/>
          <w:sz w:val="21"/>
          <w:szCs w:val="21"/>
        </w:rPr>
        <w:t xml:space="preserve">X. Liu et al., "Deep learning performance against healthcare professionals: a systematic review," The Lancet Digital Health, vol. 1, no. 6, e271–e297, 2019.</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[16] </w:t>
      </w:r>
      <w:r>
        <w:rPr>
          <w:rFonts w:ascii="Times New Roman" w:hAnsi="Times New Roman" w:cs="Times New Roman" w:eastAsia="宋体;SimSun"/>
          <w:sz w:val="21"/>
          <w:szCs w:val="21"/>
        </w:rPr>
        <w:t xml:space="preserve">A. BenTaieb et al., "Deep learning for digital pathology: a review," IEEE RBE, vol. 15, pp. 98–115, 2022.</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[17] </w:t>
      </w:r>
      <w:r>
        <w:rPr>
          <w:rFonts w:ascii="Times New Roman" w:hAnsi="Times New Roman" w:cs="Times New Roman" w:eastAsia="宋体;SimSun"/>
          <w:sz w:val="21"/>
          <w:szCs w:val="21"/>
        </w:rPr>
        <w:t xml:space="preserve">G. Litjens et al., "Deep learning as a tool for histopathological diagnosis," Scientific Reports, vol. 6, 26286, 2016.</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[18] </w:t>
      </w:r>
      <w:r>
        <w:rPr>
          <w:rFonts w:ascii="Times New Roman" w:hAnsi="Times New Roman" w:cs="Times New Roman" w:eastAsia="宋体;SimSun"/>
          <w:sz w:val="21"/>
          <w:szCs w:val="21"/>
        </w:rPr>
        <w:t xml:space="preserve">H. Haenssle et al., "Man against machine: diagnostic performance of a deep learning CNN for dermoscopic melanoma recognition," Annals of Oncology, vol. 29, pp. 1836–1842, 2018.</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[19] </w:t>
      </w:r>
      <w:r>
        <w:rPr>
          <w:rFonts w:ascii="Times New Roman" w:hAnsi="Times New Roman" w:cs="Times New Roman" w:eastAsia="宋体;SimSun"/>
          <w:sz w:val="21"/>
          <w:szCs w:val="21"/>
        </w:rPr>
        <w:t xml:space="preserve">J. Zou et al., "AI can be biased: examples in dermatology," Nature Medicine, vol. 28, pp. 1298–1299, 2022.</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[20] </w:t>
      </w:r>
      <w:r>
        <w:rPr>
          <w:rFonts w:ascii="Times New Roman" w:hAnsi="Times New Roman" w:cs="Times New Roman" w:eastAsia="宋体;SimSun"/>
          <w:sz w:val="21"/>
          <w:szCs w:val="21"/>
        </w:rPr>
        <w:t xml:space="preserve">M. D. Abramoff et al., "Pivotal trial of an autonomous AI-based diagnostic system for detection of diabetic retinopathy," NPJ Digital Medicine, vol. 1, 39, 2018.</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[21] </w:t>
      </w:r>
      <w:r>
        <w:rPr>
          <w:rFonts w:ascii="Times New Roman" w:hAnsi="Times New Roman" w:cs="Times New Roman" w:eastAsia="宋体;SimSun"/>
          <w:sz w:val="21"/>
          <w:szCs w:val="21"/>
        </w:rPr>
        <w:t xml:space="preserve">R. Poplin et al., "Prediction of cardiovascular risk factors from retinal fundus photographs," Nature Biomedical Engineering, vol. 2, pp. 158–164, 2018.</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[22] </w:t>
      </w:r>
      <w:r>
        <w:rPr>
          <w:rFonts w:ascii="Times New Roman" w:hAnsi="Times New Roman" w:cs="Times New Roman" w:eastAsia="宋体;SimSun"/>
          <w:sz w:val="21"/>
          <w:szCs w:val="21"/>
        </w:rPr>
        <w:t xml:space="preserve">J. A. DiMasi et al., "Innovation in the pharmaceutical industry: new estimates of R&amp;D costs," Journal of Health Economics, vol. 47, pp. 20–33, 2016.</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[23] </w:t>
      </w:r>
      <w:r>
        <w:rPr>
          <w:rFonts w:ascii="Times New Roman" w:hAnsi="Times New Roman" w:cs="Times New Roman" w:eastAsia="宋体;SimSun"/>
          <w:sz w:val="21"/>
          <w:szCs w:val="21"/>
        </w:rPr>
        <w:t xml:space="preserve">T. Zitnik et al., "Machine learning for integrating data in biology and medicine," Nature Reviews Molecular Cell Biology, vol. 20, pp. 751–767, 2019.</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[24] </w:t>
      </w:r>
      <w:r>
        <w:rPr>
          <w:rFonts w:ascii="Times New Roman" w:hAnsi="Times New Roman" w:cs="Times New Roman" w:eastAsia="宋体;SimSun"/>
          <w:sz w:val="21"/>
          <w:szCs w:val="21"/>
        </w:rPr>
        <w:t xml:space="preserve">N. De Cao and T. Kipf, "MolGAN: An implicit generative model for small molecular graphs," ICML 2018 Workshop.</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[25] </w:t>
      </w:r>
      <w:r>
        <w:rPr>
          <w:rFonts w:ascii="Times New Roman" w:hAnsi="Times New Roman" w:cs="Times New Roman" w:eastAsia="宋体;SimSun"/>
          <w:sz w:val="21"/>
          <w:szCs w:val="21"/>
        </w:rPr>
        <w:t xml:space="preserve">J. Jumper et al., "Highly accurate protein structure prediction with AlphaFold," Nature, vol. 596, pp. 583–589, 2021.</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[26] </w:t>
      </w:r>
      <w:r>
        <w:rPr>
          <w:rFonts w:ascii="Times New Roman" w:hAnsi="Times New Roman" w:cs="Times New Roman" w:eastAsia="宋体;SimSun"/>
          <w:sz w:val="21"/>
          <w:szCs w:val="21"/>
        </w:rPr>
        <w:t xml:space="preserve">J. M. Harrer et al., "Artificial intelligence for clinical trial design," Trends in Pharmacological Sciences, vol. 40, pp. 577–591, 2019.</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[27] </w:t>
      </w:r>
      <w:r>
        <w:rPr>
          <w:rFonts w:ascii="Times New Roman" w:hAnsi="Times New Roman" w:cs="Times New Roman" w:eastAsia="宋体;SimSun"/>
          <w:sz w:val="21"/>
          <w:szCs w:val="21"/>
        </w:rPr>
        <w:t xml:space="preserve">J. Zhou et al., "Deep learning sequence-based ab initio prediction of variant effects," Nature Methods, vol. 16, pp. 1201–1210, 2019.</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[28] </w:t>
      </w:r>
      <w:r>
        <w:rPr>
          <w:rFonts w:ascii="Times New Roman" w:hAnsi="Times New Roman" w:cs="Times New Roman" w:eastAsia="宋体;SimSun"/>
          <w:sz w:val="21"/>
          <w:szCs w:val="21"/>
        </w:rPr>
        <w:t xml:space="preserve">S. Huang et al., "Artificial intelligence in cancer diagnosis and prognosis," Nature Reviews Cancer, vol. 22, pp. 418–431, 2022.</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[29] </w:t>
      </w:r>
      <w:r>
        <w:rPr>
          <w:rFonts w:ascii="Times New Roman" w:hAnsi="Times New Roman" w:cs="Times New Roman" w:eastAsia="宋体;SimSun"/>
          <w:sz w:val="21"/>
          <w:szCs w:val="21"/>
        </w:rPr>
        <w:t xml:space="preserve">M. A. Sahin et al., "Deep learning for pharmacogenomics: a comprehensive review," Pharmacogenomics, vol. 23, pp. 453–472, 2022.</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[30] </w:t>
      </w:r>
      <w:r>
        <w:rPr>
          <w:rFonts w:ascii="Times New Roman" w:hAnsi="Times New Roman" w:cs="Times New Roman" w:eastAsia="宋体;SimSun"/>
          <w:sz w:val="21"/>
          <w:szCs w:val="21"/>
        </w:rPr>
        <w:t xml:space="preserve">U. R. A. G. K. I. Tison et al., "Passive detection of atrial fibrillation using a smartwatch," JAMA Cardiology, vol. 3, pp. 409–416, 2018.</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[31] </w:t>
      </w:r>
      <w:r>
        <w:rPr>
          <w:rFonts w:ascii="Times New Roman" w:hAnsi="Times New Roman" w:cs="Times New Roman" w:eastAsia="宋体;SimSun"/>
          <w:sz w:val="21"/>
          <w:szCs w:val="21"/>
        </w:rPr>
        <w:t xml:space="preserve">R. T. Sutton et al., "An overview of clinical decision support systems: benefits, risks, and strategies for success," NPJ Digital Medicine, vol. 3, 17, 2020.</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[32] </w:t>
      </w:r>
      <w:r>
        <w:rPr>
          <w:rFonts w:ascii="Times New Roman" w:hAnsi="Times New Roman" w:cs="Times New Roman" w:eastAsia="宋体;SimSun"/>
          <w:sz w:val="21"/>
          <w:szCs w:val="21"/>
        </w:rPr>
        <w:t xml:space="preserve">K. E. Henry et al., "A targeted real-time early warning score (TREWScore) for septic shock," Science Translational Medicine, vol. 7, 299ra122, 2015.</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[33] </w:t>
      </w:r>
      <w:r>
        <w:rPr>
          <w:rFonts w:ascii="Times New Roman" w:hAnsi="Times New Roman" w:cs="Times New Roman" w:eastAsia="宋体;SimSun"/>
          <w:sz w:val="21"/>
          <w:szCs w:val="21"/>
        </w:rPr>
        <w:t xml:space="preserve">R. S. Desautels et al., "Prediction of sepsis in the ICU with minimal electronic health record data," Critical Care Medicine, vol. 44, pp. 1078–1087, 2016.</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[34] </w:t>
      </w:r>
      <w:r>
        <w:rPr>
          <w:rFonts w:ascii="Times New Roman" w:hAnsi="Times New Roman" w:cs="Times New Roman" w:eastAsia="宋体;SimSun"/>
          <w:sz w:val="21"/>
          <w:szCs w:val="21"/>
        </w:rPr>
        <w:t xml:space="preserve">A. Rajkomar et al., "Scalable and accurate deep learning with electronic health records," NPJ Digital Medicine, vol. 1, 18, 2018.</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[35] </w:t>
      </w:r>
      <w:r>
        <w:rPr>
          <w:rFonts w:ascii="Times New Roman" w:hAnsi="Times New Roman" w:cs="Times New Roman" w:eastAsia="宋体;SimSun"/>
          <w:sz w:val="21"/>
          <w:szCs w:val="21"/>
        </w:rPr>
        <w:t xml:space="preserve">E. Choi et al., "Doctor AI: Predicting clinical events via recurrent neural networks," JMLR Workshop, vol. 56, 2016.</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[36] </w:t>
      </w:r>
      <w:r>
        <w:rPr>
          <w:rFonts w:ascii="Times New Roman" w:hAnsi="Times New Roman" w:cs="Times New Roman" w:eastAsia="宋体;SimSun"/>
          <w:sz w:val="21"/>
          <w:szCs w:val="21"/>
        </w:rPr>
        <w:t xml:space="preserve">K. L. Moore et al., "Experience-based quality improvement in radiation oncology," Seminars in Radiation Oncology, vol. 29, pp. 335–342, 2019.</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[37] </w:t>
      </w:r>
      <w:r>
        <w:rPr>
          <w:rFonts w:ascii="Times New Roman" w:hAnsi="Times New Roman" w:cs="Times New Roman" w:eastAsia="宋体;SimSun"/>
          <w:sz w:val="21"/>
          <w:szCs w:val="21"/>
        </w:rPr>
        <w:t xml:space="preserve">D. W. Bates et al., "Big data in health care: using analytics to identify high-risk patients," Health Affairs, vol. 33, pp. 1123–1131, 2014.</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[38] </w:t>
      </w:r>
      <w:r>
        <w:rPr>
          <w:rFonts w:ascii="Times New Roman" w:hAnsi="Times New Roman" w:cs="Times New Roman" w:eastAsia="宋体;SimSun"/>
          <w:sz w:val="21"/>
          <w:szCs w:val="21"/>
        </w:rPr>
        <w:t xml:space="preserve">S. Levin et al., "Machine learning for predicting emergency department volume," Annals of Emergency Medicine, vol. 74, pp. 719–728, 2019.</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[39] </w:t>
      </w:r>
      <w:r>
        <w:rPr>
          <w:rFonts w:ascii="Times New Roman" w:hAnsi="Times New Roman" w:cs="Times New Roman" w:eastAsia="宋体;SimSun"/>
          <w:sz w:val="21"/>
          <w:szCs w:val="21"/>
        </w:rPr>
        <w:t xml:space="preserve">B. E. Dixon et al., "Population health informatics: a systematic review," JAMIA, vol. 27, pp. 1960–1972, 2020.</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[40] </w:t>
      </w:r>
      <w:r>
        <w:rPr>
          <w:rFonts w:ascii="Times New Roman" w:hAnsi="Times New Roman" w:cs="Times New Roman" w:eastAsia="宋体;SimSun"/>
          <w:sz w:val="21"/>
          <w:szCs w:val="21"/>
        </w:rPr>
        <w:t xml:space="preserve">D. B. Dwyer et al., "Machine learning approaches for clinical psychology," Clinical Psychology Review, vol. 57, pp. 27–39, 2018.</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[41] </w:t>
      </w:r>
      <w:r>
        <w:rPr>
          <w:rFonts w:ascii="Times New Roman" w:hAnsi="Times New Roman" w:cs="Times New Roman" w:eastAsia="宋体;SimSun"/>
          <w:sz w:val="21"/>
          <w:szCs w:val="21"/>
        </w:rPr>
        <w:t xml:space="preserve">S. R. Vaccaro et al., "Detecting depression from speech and language: a systematic review," Journal of Affective Disorders, vol. 284, pp. 63–79, 2021.</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[42] </w:t>
      </w:r>
      <w:r>
        <w:rPr>
          <w:rFonts w:ascii="Times New Roman" w:hAnsi="Times New Roman" w:cs="Times New Roman" w:eastAsia="宋体;SimSun"/>
          <w:sz w:val="21"/>
          <w:szCs w:val="21"/>
        </w:rPr>
        <w:t xml:space="preserve">K. K. Fitzpatrick et al., "Delivering cognitive behavior therapy to young adults with depression using a chatbot: a randomized controlled trial," JMIR, vol. 6, e121, 2017.</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[43] </w:t>
      </w:r>
      <w:r>
        <w:rPr>
          <w:rFonts w:ascii="Times New Roman" w:hAnsi="Times New Roman" w:cs="Times New Roman" w:eastAsia="宋体;SimSun"/>
          <w:sz w:val="21"/>
          <w:szCs w:val="21"/>
        </w:rPr>
        <w:t xml:space="preserve">A. S. K. K. Panch et al., "Artificial intelligence and machine learning in global health," BMJ Global Health, vol. 5, e002101, 2020.</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[44] </w:t>
      </w:r>
      <w:r>
        <w:rPr>
          <w:rFonts w:ascii="Times New Roman" w:hAnsi="Times New Roman" w:cs="Times New Roman" w:eastAsia="宋体;SimSun"/>
          <w:sz w:val="21"/>
          <w:szCs w:val="21"/>
        </w:rPr>
        <w:t xml:space="preserve">Q. Li et al., "Federated learning in healthcare: a systematic review," IEEE JBHI, vol. 26, pp. 2305–2320, 2022.</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[45] </w:t>
      </w:r>
      <w:r>
        <w:rPr>
          <w:rFonts w:ascii="Times New Roman" w:hAnsi="Times New Roman" w:cs="Times New Roman" w:eastAsia="宋体;SimSun"/>
          <w:sz w:val="21"/>
          <w:szCs w:val="21"/>
        </w:rPr>
        <w:t xml:space="preserve">J. D. Rodriguez et al., "Distribution shift in medical AI: a systematic review," Nature Medicine, vol. 29, pp. 1032–1045, 2023.</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[46] </w:t>
      </w:r>
      <w:r>
        <w:rPr>
          <w:rFonts w:ascii="Times New Roman" w:hAnsi="Times New Roman" w:cs="Times New Roman" w:eastAsia="宋体;SimSun"/>
          <w:sz w:val="21"/>
          <w:szCs w:val="21"/>
        </w:rPr>
        <w:t xml:space="preserve">A. Holzinger et al., "Explainable AI in healthcare: a review," IEEE JBHI, vol. 26, pp. 3523–3537, 2022.</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[47] </w:t>
      </w:r>
      <w:r>
        <w:rPr>
          <w:rFonts w:ascii="Times New Roman" w:hAnsi="Times New Roman" w:cs="Times New Roman" w:eastAsia="宋体;SimSun"/>
          <w:sz w:val="21"/>
          <w:szCs w:val="21"/>
        </w:rPr>
        <w:t xml:space="preserve">A. N. Angelopoulos and S. Bates, "Conformal prediction: a gentle introduction," Foundations and Trends in ML, vol. 16, pp. 494–591, 2023.</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[48] </w:t>
      </w:r>
      <w:r>
        <w:rPr>
          <w:rFonts w:ascii="Times New Roman" w:hAnsi="Times New Roman" w:cs="Times New Roman" w:eastAsia="宋体;SimSun"/>
          <w:sz w:val="21"/>
          <w:szCs w:val="21"/>
        </w:rPr>
        <w:t xml:space="preserve">M. Nagendran et al., "Artificial intelligence versus clinicians: systematic review," BMJ, vol. 368, m689, 2020.</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[49] </w:t>
      </w:r>
      <w:r>
        <w:rPr>
          <w:rFonts w:ascii="Times New Roman" w:hAnsi="Times New Roman" w:cs="Times New Roman" w:eastAsia="宋体;SimSun"/>
          <w:sz w:val="21"/>
          <w:szCs w:val="21"/>
        </w:rPr>
        <w:t xml:space="preserve">Z. Obermeyer et al., "Dissecting racial bias in an algorithm used to manage the health of populations," Science, vol. 366, pp. 447–453, 2019.</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[50] </w:t>
      </w:r>
      <w:r>
        <w:rPr>
          <w:rFonts w:ascii="Times New Roman" w:hAnsi="Times New Roman" w:cs="Times New Roman" w:eastAsia="宋体;SimSun"/>
          <w:sz w:val="21"/>
          <w:szCs w:val="21"/>
        </w:rPr>
        <w:t xml:space="preserve">M. Abadi et al., "Deep learning with differential privacy," in CCS, 2016.</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[51] </w:t>
      </w:r>
      <w:r>
        <w:rPr>
          <w:rFonts w:ascii="Times New Roman" w:hAnsi="Times New Roman" w:cs="Times New Roman" w:eastAsia="宋体;SimSun"/>
          <w:sz w:val="21"/>
          <w:szCs w:val="21"/>
        </w:rPr>
        <w:t xml:space="preserve">FDA, "Artificial Intelligence and Machine Learning in Software as a Medical Device," 2021.</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[52] </w:t>
      </w:r>
      <w:r>
        <w:rPr>
          <w:rFonts w:ascii="Times New Roman" w:hAnsi="Times New Roman" w:cs="Times New Roman" w:eastAsia="宋体;SimSun"/>
          <w:sz w:val="21"/>
          <w:szCs w:val="21"/>
        </w:rPr>
        <w:t xml:space="preserve">European Commission, "Proposal for a Regulation laying down harmonised rules on AI," 2021.</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[53] </w:t>
      </w:r>
      <w:r>
        <w:rPr>
          <w:rFonts w:ascii="Times New Roman" w:hAnsi="Times New Roman" w:cs="Times New Roman" w:eastAsia="宋体;SimSun"/>
          <w:sz w:val="21"/>
          <w:szCs w:val="21"/>
        </w:rPr>
        <w:t xml:space="preserve">K. Singhal et al., "Med-PaLM 2: Towards expert-level medical question answering," arXiv:2305.09617, 2023.</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[54] </w:t>
      </w:r>
      <w:r>
        <w:rPr>
          <w:rFonts w:ascii="Times New Roman" w:hAnsi="Times New Roman" w:cs="Times New Roman" w:eastAsia="宋体;SimSun"/>
          <w:sz w:val="21"/>
          <w:szCs w:val="21"/>
        </w:rPr>
        <w:t xml:space="preserve">S. R. Stahlschmidt et al., "Multimodal deep learning for biomedical data: a survey," Briefings in Bioinformatics, vol. 23, bbac007, 2022.</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[55] </w:t>
      </w:r>
      <w:r>
        <w:rPr>
          <w:rFonts w:ascii="Times New Roman" w:hAnsi="Times New Roman" w:cs="Times New Roman" w:eastAsia="宋体;SimSun"/>
          <w:sz w:val="21"/>
          <w:szCs w:val="21"/>
        </w:rPr>
        <w:t xml:space="preserve">T. Li et al., "Federated learning: challenges, methods, and future directions," IEEE Signal Processing Magazine, vol. 37, pp. 50–60, 2020.</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[56] </w:t>
      </w:r>
      <w:r>
        <w:rPr>
          <w:rFonts w:ascii="Times New Roman" w:hAnsi="Times New Roman" w:cs="Times New Roman" w:eastAsia="宋体;SimSun"/>
          <w:sz w:val="21"/>
          <w:szCs w:val="21"/>
        </w:rPr>
        <w:t xml:space="preserve">B. Scholkopf, "Causality for machine learning," in ACM Computing Surveys, vol. 55, 2022.</w:t>
      </w:r>
    </w:p>
    <w:sectPr>
      <w:headerReference w:type="default" r:id="rId7"/>
      <w:footerReference w:type="default" r:id="rId8"/>
      <w:pgSz w:w="595.30pt" w:h="841.90pt" w:orient="portrait"/>
      <w:pgMar w:top="54pt" w:right="44.65pt" w:bottom="72pt" w:left="44.65pt" w:header="36pt" w:footer="36pt" w:gutter="0pt"/>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font w:name="Times New Roman"/>
  <w:font w:name="Courier New"/>
  <w:font w:name="Wingdings"/>
  <w:font w:name="SimSun"/>
  <w:font w:name="MS Mincho"/>
  <w:font w:name="Calibri Light"/>
  <w:font w:name="Calibri"/>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AI in Healthcare: A Comprehensive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start w:val="1"/>
      <w:numFmt w:val="bullet"/>
      <w:lvlText w:val="None"/>
      <w:lvlJc w:val="start"/>
      <w:pPr>
        <w:ind w:firstLine="0pt"/>
      </w:pPr>
      <w:rPr>
        <w:rFonts w:ascii="Symbol" w:hAnsi="Symbol"/>
      </w:rPr>
    </w:lvl>
    <w:lvl w:ilvl="1">
      <w:start w:val="1"/>
      <w:numFmt w:val="bullet"/>
      <w:lvlText w:val=""/>
      <w:lvlJc w:val="start"/>
      <w:pPr>
        <w:ind w:hanging="18pt"/>
      </w:pPr>
      <w:rPr>
        <w:rFonts w:ascii="Symbol" w:hAnsi="Symbol"/>
      </w:rPr>
    </w:lvl>
    <w:lvl w:ilvl="2">
      <w:start w:val="1"/>
      <w:numFmt w:val="bullet"/>
      <w:lvlText w:val="o"/>
      <w:lvlJc w:val="start"/>
      <w:pPr>
        <w:ind w:hanging="18pt"/>
      </w:pPr>
      <w:rPr>
        <w:rFonts w:ascii="Courier New" w:hAnsi="Courier New" w:cs="Courier New"/>
      </w:rPr>
    </w:lvl>
    <w:lvl w:ilvl="3">
      <w:start w:val="1"/>
      <w:numFmt w:val="bullet"/>
      <w:lvlText w:val=""/>
      <w:lvlJc w:val="start"/>
      <w:pPr>
        <w:ind w:hanging="18pt"/>
      </w:pPr>
      <w:rPr>
        <w:rFonts w:ascii="Wingdings" w:hAnsi="Wingdings"/>
      </w:rPr>
    </w:lvl>
    <w:lvl w:ilvl="4">
      <w:start w:val="1"/>
      <w:numFmt w:val="bullet"/>
      <w:lvlText w:val=""/>
      <w:lvlJc w:val="start"/>
      <w:pPr>
        <w:ind w:hanging="18pt"/>
      </w:pPr>
      <w:rPr>
        <w:rFonts w:ascii="Wingdings" w:hAnsi="Wingdings"/>
      </w:rPr>
    </w:lvl>
    <w:lvl w:ilvl="5">
      <w:start w:val="1"/>
      <w:numFmt w:val="bullet"/>
      <w:lvlText w:val=""/>
      <w:lvlJc w:val="start"/>
      <w:pPr>
        <w:ind w:hanging="18pt"/>
      </w:pPr>
      <w:rPr>
        <w:rFonts w:ascii="Symbol" w:hAnsi="Symbol"/>
      </w:rPr>
    </w:lvl>
    <w:lvl w:ilvl="6">
      <w:start w:val="1"/>
      <w:numFmt w:val="bullet"/>
      <w:lvlText w:val="o"/>
      <w:lvlJc w:val="start"/>
      <w:pPr>
        <w:ind w:hanging="18pt"/>
      </w:pPr>
      <w:rPr>
        <w:rFonts w:ascii="Courier New" w:hAnsi="Courier New" w:cs="Courier New"/>
      </w:rPr>
    </w:lvl>
    <w:lvl w:ilvl="7">
      <w:start w:val="1"/>
      <w:numFmt w:val="bullet"/>
      <w:lvlText w:val=""/>
      <w:lvlJc w:val="start"/>
      <w:pPr>
        <w:ind w:hanging="18pt"/>
      </w:pPr>
      <w:rPr>
        <w:rFonts w:ascii="Wingdings" w:hAnsi="Wingdings"/>
      </w:rPr>
    </w:lvl>
    <w:lvl w:ilvl="8">
      <w:start w:val="1"/>
      <w:numFmt w:val="bullet"/>
      <w:lvlText w:val=""/>
      <w:lvlJc w:val="start"/>
      <w:pPr>
        <w:ind w:hanging="18pt"/>
      </w:pPr>
      <w:rPr>
        <w:rFonts w:ascii="Wingdings" w:hAnsi="Wingdings"/>
      </w:rPr>
    </w:lvl>
  </w:abstractNum>
  <w:abstractNum w:abstractNumId="1">
    <w:lvl w:ilvl="0">
      <w:start w:val="1"/>
      <w:numFmt w:val="decimal"/>
      <w:lvlText w:val="%1."/>
      <w:lvlJc w:val="start"/>
      <w:pPr>
        <w:ind w:hanging="18pt"/>
      </w:pPr>
    </w:lvl>
  </w:abstractNum>
  <w:abstractNum w:abstractNumId="2">
    <w:lvl w:ilvl="0">
      <w:start w:val="1"/>
      <w:numFmt w:val="decimal"/>
      <w:lvlText w:val="%1."/>
      <w:lvlJc w:val="start"/>
      <w:pPr>
        <w:ind w:hanging="18pt"/>
      </w:pPr>
    </w:lvl>
  </w:abstractNum>
  <w:abstractNum w:abstractNumId="3">
    <w:lvl w:ilvl="0">
      <w:start w:val="1"/>
      <w:numFmt w:val="decimal"/>
      <w:lvlText w:val="%1."/>
      <w:lvlJc w:val="start"/>
      <w:pPr>
        <w:ind w:hanging="18pt"/>
      </w:pPr>
    </w:lvl>
  </w:abstractNum>
  <w:abstractNum w:abstractNumId="4">
    <w:lvl w:ilvl="0">
      <w:start w:val="1"/>
      <w:numFmt w:val="decimal"/>
      <w:lvlText w:val="%1."/>
      <w:lvlJc w:val="start"/>
      <w:pPr>
        <w:ind w:hanging="18pt"/>
      </w:pPr>
    </w:lvl>
  </w:abstractNum>
  <w:abstractNum w:abstractNumId="5">
    <w:lvl w:ilvl="0">
      <w:start w:val="1"/>
      <w:numFmt w:val="bullet"/>
      <w:lvlText w:val=""/>
      <w:lvlJc w:val="start"/>
      <w:pPr>
        <w:ind w:hanging="18pt"/>
      </w:pPr>
      <w:rPr>
        <w:rFonts w:ascii="Symbol" w:hAnsi="Symbol"/>
      </w:rPr>
    </w:lvl>
  </w:abstractNum>
  <w:abstractNum w:abstractNumId="6">
    <w:lvl w:ilvl="0">
      <w:start w:val="1"/>
      <w:numFmt w:val="bullet"/>
      <w:lvlText w:val=""/>
      <w:lvlJc w:val="start"/>
      <w:pPr>
        <w:ind w:hanging="18pt"/>
      </w:pPr>
      <w:rPr>
        <w:rFonts w:ascii="Symbol" w:hAnsi="Symbol"/>
      </w:rPr>
    </w:lvl>
  </w:abstractNum>
  <w:abstractNum w:abstractNumId="7">
    <w:lvl w:ilvl="0">
      <w:start w:val="1"/>
      <w:numFmt w:val="bullet"/>
      <w:lvlText w:val=""/>
      <w:lvlJc w:val="start"/>
      <w:pPr>
        <w:ind w:hanging="18pt"/>
      </w:pPr>
      <w:rPr>
        <w:rFonts w:ascii="Symbol" w:hAnsi="Symbol"/>
      </w:rPr>
    </w:lvl>
  </w:abstractNum>
  <w:abstractNum w:abstractNumId="8">
    <w:lvl w:ilvl="0">
      <w:start w:val="1"/>
      <w:numFmt w:val="bullet"/>
      <w:lvlText w:val=""/>
      <w:lvlJc w:val="start"/>
      <w:pPr>
        <w:ind w:hanging="18pt"/>
      </w:pPr>
      <w:rPr>
        <w:rFonts w:ascii="Symbol" w:hAnsi="Symbol"/>
      </w:rPr>
    </w:lvl>
  </w:abstractNum>
  <w:abstractNum w:abstractNumId="9">
    <w:lvl w:ilvl="0">
      <w:start w:val="1"/>
      <w:numFmt w:val="decimal"/>
      <w:lvlText w:val="%1."/>
      <w:lvlJc w:val="start"/>
      <w:pPr>
        <w:ind w:hanging="18pt"/>
      </w:pPr>
    </w:lvl>
  </w:abstractNum>
  <w:abstractNum w:abstractNumId="10">
    <w:lvl w:ilvl="0">
      <w:start w:val="1"/>
      <w:numFmt w:val="bullet"/>
      <w:lvlText w:val=""/>
      <w:lvlJc w:val="start"/>
      <w:pPr>
        <w:ind w:hanging="18pt"/>
      </w:pPr>
      <w:rPr>
        <w:rFonts w:ascii="Symbol" w:hAnsi="Symbol"/>
      </w:rPr>
    </w:lvl>
  </w:abstractNum>
  <w:abstractNum w:abstractNumId="11">
    <w:lvl w:ilvl="0">
      <w:start w:val="1"/>
      <w:numFmt w:val="upperRoman"/>
      <w:lvlText w:val="%1."/>
      <w:lvlJc w:val="end"/>
      <w:pPr>
        <w:ind w:hanging="18pt"/>
      </w:pPr>
    </w:lvl>
    <w:lvl w:ilvl="1">
      <w:start w:val="1"/>
      <w:numFmt w:val="lowerLetter"/>
      <w:lvlText w:val="%2."/>
      <w:lvlJc w:val="start"/>
      <w:pPr>
        <w:ind w:hanging="18pt"/>
      </w:pPr>
    </w:lvl>
    <w:lvl w:ilvl="2">
      <w:start w:val="1"/>
      <w:numFmt w:val="lowerRoman"/>
      <w:lvlText w:val="%3."/>
      <w:lvlJc w:val="end"/>
      <w:pPr>
        <w:ind w:hanging="9pt"/>
      </w:pPr>
    </w:lvl>
    <w:lvl w:ilvl="3">
      <w:start w:val="1"/>
      <w:numFmt w:val="decimal"/>
      <w:lvlText w:val="%4."/>
      <w:lvlJc w:val="start"/>
      <w:pPr>
        <w:ind w:hanging="18pt"/>
      </w:pPr>
    </w:lvl>
    <w:lvl w:ilvl="4">
      <w:start w:val="1"/>
      <w:numFmt w:val="lowerLetter"/>
      <w:lvlText w:val="%5."/>
      <w:lvlJc w:val="start"/>
      <w:pPr>
        <w:ind w:hanging="18pt"/>
      </w:pPr>
    </w:lvl>
    <w:lvl w:ilvl="5">
      <w:start w:val="1"/>
      <w:numFmt w:val="lowerRoman"/>
      <w:lvlText w:val="%6."/>
      <w:lvlJc w:val="end"/>
      <w:pPr>
        <w:ind w:hanging="9pt"/>
      </w:pPr>
    </w:lvl>
    <w:lvl w:ilvl="6">
      <w:start w:val="1"/>
      <w:numFmt w:val="decimal"/>
      <w:lvlText w:val="%7."/>
      <w:lvlJc w:val="start"/>
      <w:pPr>
        <w:ind w:hanging="18pt"/>
      </w:pPr>
    </w:lvl>
    <w:lvl w:ilvl="7">
      <w:start w:val="1"/>
      <w:numFmt w:val="lowerLetter"/>
      <w:lvlText w:val="%8."/>
      <w:lvlJc w:val="start"/>
      <w:pPr>
        <w:ind w:hanging="18pt"/>
      </w:pPr>
    </w:lvl>
    <w:lvl w:ilvl="8">
      <w:start w:val="1"/>
      <w:numFmt w:val="lowerRoman"/>
      <w:lvlText w:val="%9."/>
      <w:lvlJc w:val="end"/>
      <w:pPr>
        <w:ind w:hanging="9pt"/>
      </w:pPr>
    </w:lvl>
  </w:abstractNum>
  <w:abstractNum w:abstractNumId="12">
    <w:lvl w:ilvl="0">
      <w:start w:val="1"/>
      <w:numFmt w:val="lowerLetter"/>
      <w:lvlText w:val="%1."/>
      <w:lvlJc w:val="start"/>
      <w:pPr>
        <w:ind w:hanging="18pt"/>
      </w:pPr>
      <w:rPr>
        <w:rFonts w:cs="Times New Roman"/>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13">
    <w:lvl w:ilvl="0">
      <w:start w:val="1"/>
      <w:numFmt w:val="decimal"/>
      <w:lvlText w:val="%1 "/>
      <w:lvlJc w:val="start"/>
      <w:pPr>
        <w:ind w:firstLine="14.40pt"/>
      </w:pPr>
      <w:rPr>
        <w:rFonts w:ascii="Times New Roman" w:hAnsi="Times New Roman" w:cs="Times New Roman"/>
        <w:sz w:val="16"/>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14">
    <w:lvl w:ilvl="0">
      <w:start w:val="1"/>
      <w:numFmt w:val="bullet"/>
      <w:lvlText w:val=""/>
      <w:lvlJc w:val="start"/>
      <w:pPr>
        <w:ind w:hanging="18pt"/>
      </w:pPr>
      <w:rPr>
        <w:rFonts w:ascii="Symbol" w:hAnsi="Symbol"/>
      </w:rPr>
    </w:lvl>
    <w:lvl w:ilvl="1">
      <w:start w:val="1"/>
      <w:numFmt w:val="bullet"/>
      <w:lvlText w:val="o"/>
      <w:lvlJc w:val="start"/>
      <w:pPr>
        <w:ind w:hanging="18pt"/>
      </w:pPr>
      <w:rPr>
        <w:rFonts w:ascii="Courier New" w:hAnsi="Courier New"/>
      </w:rPr>
    </w:lvl>
    <w:lvl w:ilvl="2">
      <w:start w:val="1"/>
      <w:numFmt w:val="bullet"/>
      <w:lvlText w:val=""/>
      <w:lvlJc w:val="start"/>
      <w:pPr>
        <w:ind w:hanging="18pt"/>
      </w:pPr>
      <w:rPr>
        <w:rFonts w:ascii="Wingdings" w:hAnsi="Wingdings"/>
      </w:rPr>
    </w:lvl>
    <w:lvl w:ilvl="3">
      <w:start w:val="1"/>
      <w:numFmt w:val="bullet"/>
      <w:lvlText w:val=""/>
      <w:lvlJc w:val="start"/>
      <w:pPr>
        <w:ind w:hanging="18pt"/>
      </w:pPr>
      <w:rPr>
        <w:rFonts w:ascii="Symbol" w:hAnsi="Symbol"/>
      </w:rPr>
    </w:lvl>
    <w:lvl w:ilvl="4">
      <w:start w:val="1"/>
      <w:numFmt w:val="bullet"/>
      <w:lvlText w:val="o"/>
      <w:lvlJc w:val="start"/>
      <w:pPr>
        <w:ind w:hanging="18pt"/>
      </w:pPr>
      <w:rPr>
        <w:rFonts w:ascii="Courier New" w:hAnsi="Courier New"/>
      </w:rPr>
    </w:lvl>
    <w:lvl w:ilvl="5">
      <w:start w:val="1"/>
      <w:numFmt w:val="bullet"/>
      <w:lvlText w:val=""/>
      <w:lvlJc w:val="start"/>
      <w:pPr>
        <w:ind w:hanging="18pt"/>
      </w:pPr>
      <w:rPr>
        <w:rFonts w:ascii="Wingdings" w:hAnsi="Wingdings"/>
      </w:rPr>
    </w:lvl>
    <w:lvl w:ilvl="6">
      <w:start w:val="1"/>
      <w:numFmt w:val="bullet"/>
      <w:lvlText w:val=""/>
      <w:lvlJc w:val="start"/>
      <w:pPr>
        <w:ind w:hanging="18pt"/>
      </w:pPr>
      <w:rPr>
        <w:rFonts w:ascii="Symbol" w:hAnsi="Symbol"/>
      </w:rPr>
    </w:lvl>
    <w:lvl w:ilvl="7">
      <w:start w:val="1"/>
      <w:numFmt w:val="bullet"/>
      <w:lvlText w:val="o"/>
      <w:lvlJc w:val="start"/>
      <w:pPr>
        <w:ind w:hanging="18pt"/>
      </w:pPr>
      <w:rPr>
        <w:rFonts w:ascii="Courier New" w:hAnsi="Courier New"/>
      </w:rPr>
    </w:lvl>
    <w:lvl w:ilvl="8">
      <w:start w:val="1"/>
      <w:numFmt w:val="bullet"/>
      <w:lvlText w:val=""/>
      <w:lvlJc w:val="start"/>
      <w:pPr>
        <w:ind w:hanging="18pt"/>
      </w:pPr>
      <w:rPr>
        <w:rFonts w:ascii="Wingdings" w:hAnsi="Wingdings"/>
      </w:rPr>
    </w:lvl>
  </w:abstractNum>
  <w:abstractNum w:abstractNumId="15">
    <w:lvl w:ilvl="0">
      <w:start w:val="14"/>
      <w:numFmt w:val="decimal"/>
      <w:lvlText w:val="%1"/>
      <w:lvlJc w:val="start"/>
      <w:pPr>
        <w:ind w:hanging="18pt"/>
      </w:pPr>
      <w:rPr>
        <w:rFonts w:cs="Times New Roman"/>
      </w:rPr>
    </w:lvl>
  </w:abstractNum>
  <w:abstractNum w:abstractNumId="16">
    <w:lvl w:ilvl="0">
      <w:start w:val="1"/>
      <w:numFmt w:val="upperRoman"/>
      <w:lvlText w:val="%1."/>
      <w:lvlJc w:val="center"/>
      <w:pPr>
        <w:ind w:firstLine="10.80pt"/>
      </w:pPr>
      <w:rPr>
        <w:rFonts w:ascii="Times New Roman" w:hAnsi="Times New Roman" w:cs="Times New Roman"/>
        <w:sz w:val="20"/>
      </w:rPr>
    </w:lvl>
    <w:lvl w:ilvl="1">
      <w:start w:val="1"/>
      <w:numFmt w:val="upperLetter"/>
      <w:lvlText w:val="%2."/>
      <w:lvlJc w:val="start"/>
      <w:pPr>
        <w:ind w:hanging="14.40pt"/>
      </w:pPr>
      <w:rPr>
        <w:rFonts w:ascii="Times New Roman" w:hAnsi="Times New Roman" w:cs="Times New Roman"/>
        <w:sz w:val="20"/>
      </w:rPr>
    </w:lvl>
    <w:lvl w:ilvl="2">
      <w:start w:val="1"/>
      <w:numFmt w:val="decimal"/>
      <w:lvlText w:val="%3)"/>
      <w:lvlJc w:val="start"/>
      <w:pPr>
        <w:ind w:firstLine="9pt"/>
      </w:pPr>
      <w:rPr>
        <w:rFonts w:ascii="Times New Roman" w:hAnsi="Times New Roman" w:cs="Times New Roman"/>
        <w:sz w:val="20"/>
      </w:rPr>
    </w:lvl>
    <w:lvl w:ilvl="3">
      <w:start w:val="1"/>
      <w:numFmt w:val="lowerLetter"/>
      <w:lvlText w:val="%4)"/>
      <w:lvlJc w:val="start"/>
      <w:pPr>
        <w:ind w:firstLine="18pt"/>
      </w:pPr>
      <w:rPr>
        <w:rFonts w:ascii="Times New Roman" w:hAnsi="Times New Roman" w:cs="Times New Roman"/>
        <w:sz w:val="20"/>
      </w:rPr>
    </w:lvl>
    <w:lvl w:ilvl="4">
      <w:start w:val="1"/>
      <w:numFmt w:val="none"/>
      <w:lvlText w:val="None"/>
      <w:lvlJc w:val="start"/>
      <w:rPr>
        <w:rFonts w:cs="Times New Roman"/>
      </w:rPr>
    </w:lvl>
    <w:lvl w:ilvl="5">
      <w:start w:val="1"/>
      <w:numFmt w:val="lowerLetter"/>
      <w:lvlText w:val="(%6)"/>
      <w:lvlJc w:val="start"/>
      <w:rPr>
        <w:rFonts w:cs="Times New Roman"/>
      </w:rPr>
    </w:lvl>
    <w:lvl w:ilvl="6">
      <w:start w:val="1"/>
      <w:numFmt w:val="lowerRoman"/>
      <w:lvlText w:val="(%7)"/>
      <w:lvlJc w:val="start"/>
      <w:rPr>
        <w:rFonts w:cs="Times New Roman"/>
      </w:rPr>
    </w:lvl>
    <w:lvl w:ilvl="7">
      <w:start w:val="1"/>
      <w:numFmt w:val="lowerLetter"/>
      <w:lvlText w:val="(%8)"/>
      <w:lvlJc w:val="start"/>
      <w:rPr>
        <w:rFonts w:cs="Times New Roman"/>
      </w:rPr>
    </w:lvl>
    <w:lvl w:ilvl="8">
      <w:start w:val="1"/>
      <w:numFmt w:val="lowerRoman"/>
      <w:lvlText w:val="(%9)"/>
      <w:lvlJc w:val="start"/>
      <w:rPr>
        <w:rFonts w:cs="Times New Roman"/>
      </w:rPr>
    </w:lvl>
  </w:abstractNum>
  <w:abstractNum w:abstractNumId="17">
    <w:lvl w:ilvl="0">
      <w:start w:val="1"/>
      <w:numFmt w:val="lowerLetter"/>
      <w:lvlText w:val="%1."/>
      <w:lvlJc w:val="end"/>
      <w:pPr>
        <w:ind w:hanging="18pt"/>
      </w:pPr>
      <w:rPr>
        <w:rFonts w:ascii="Times New Roman" w:hAnsi="Times New Roman"/>
        <w:sz w:val="16"/>
      </w:rPr>
    </w:lvl>
    <w:lvl w:ilvl="1">
      <w:start w:val="1"/>
      <w:numFmt w:val="lowerLetter"/>
      <w:lvlText w:val="%2."/>
      <w:lvlJc w:val="start"/>
      <w:pPr>
        <w:ind w:hanging="18pt"/>
      </w:pPr>
    </w:lvl>
    <w:lvl w:ilvl="2">
      <w:start w:val="1"/>
      <w:numFmt w:val="lowerRoman"/>
      <w:lvlText w:val="%3."/>
      <w:lvlJc w:val="end"/>
      <w:pPr>
        <w:ind w:hanging="9pt"/>
      </w:pPr>
    </w:lvl>
    <w:lvl w:ilvl="3">
      <w:start w:val="1"/>
      <w:numFmt w:val="decimal"/>
      <w:lvlText w:val="%4."/>
      <w:lvlJc w:val="start"/>
      <w:pPr>
        <w:ind w:hanging="18pt"/>
      </w:pPr>
    </w:lvl>
    <w:lvl w:ilvl="4">
      <w:start w:val="1"/>
      <w:numFmt w:val="lowerLetter"/>
      <w:lvlText w:val="%5."/>
      <w:lvlJc w:val="start"/>
      <w:pPr>
        <w:ind w:hanging="18pt"/>
      </w:pPr>
    </w:lvl>
    <w:lvl w:ilvl="5">
      <w:start w:val="1"/>
      <w:numFmt w:val="lowerRoman"/>
      <w:lvlText w:val="%6."/>
      <w:lvlJc w:val="end"/>
      <w:pPr>
        <w:ind w:hanging="9pt"/>
      </w:pPr>
    </w:lvl>
    <w:lvl w:ilvl="6">
      <w:start w:val="1"/>
      <w:numFmt w:val="decimal"/>
      <w:lvlText w:val="%7."/>
      <w:lvlJc w:val="start"/>
      <w:pPr>
        <w:ind w:hanging="18pt"/>
      </w:pPr>
    </w:lvl>
    <w:lvl w:ilvl="7">
      <w:start w:val="1"/>
      <w:numFmt w:val="lowerLetter"/>
      <w:lvlText w:val="%8."/>
      <w:lvlJc w:val="start"/>
      <w:pPr>
        <w:ind w:hanging="18pt"/>
      </w:pPr>
    </w:lvl>
    <w:lvl w:ilvl="8">
      <w:start w:val="1"/>
      <w:numFmt w:val="lowerRoman"/>
      <w:lvlText w:val="%9."/>
      <w:lvlJc w:val="end"/>
      <w:pPr>
        <w:ind w:hanging="9pt"/>
      </w:pPr>
    </w:lvl>
  </w:abstractNum>
  <w:abstractNum w:abstractNumId="18">
    <w:lvl w:ilvl="0">
      <w:start w:val="1"/>
      <w:numFmt w:val="decimal"/>
      <w:lvlText w:val="[%1]"/>
      <w:lvlJc w:val="start"/>
      <w:pPr>
        <w:ind w:hanging="18pt"/>
      </w:pPr>
      <w:rPr>
        <w:rFonts w:ascii="Times New Roman" w:hAnsi="Times New Roman" w:cs="Times New Roman"/>
        <w:sz w:val="16"/>
      </w:rPr>
    </w:lvl>
  </w:abstractNum>
  <w:abstractNum w:abstractNumId="19">
    <w:lvl w:ilvl="0">
      <w:start w:val="1"/>
      <w:numFmt w:val="decimal"/>
      <w:lvlText w:val="Fig. %1."/>
      <w:lvlJc w:val="start"/>
      <w:pPr>
        <w:ind w:hanging="18pt"/>
      </w:pPr>
      <w:rPr>
        <w:rFonts w:ascii="Times New Roman" w:hAnsi="Times New Roman" w:cs="Times New Roman"/>
        <w:sz w:val="16"/>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20">
    <w:lvl w:ilvl="0">
      <w:start w:val="1"/>
      <w:numFmt w:val="upperRoman"/>
      <w:lvlText w:val="TABLE %1. "/>
      <w:lvlJc w:val="start"/>
      <w:rPr>
        <w:rFonts w:ascii="Times New Roman" w:hAnsi="Times New Roman" w:cs="Times New Roman"/>
        <w:sz w:val="16"/>
      </w:rPr>
    </w:lvl>
  </w:abstractNum>
  <w:num w:numId="13">
    <w:abstractNumId w:val="0"/>
  </w:num>
  <w:num w:numId="23">
    <w:abstractNumId w:val="1"/>
  </w:num>
  <w:num w:numId="22">
    <w:abstractNumId w:val="2"/>
  </w:num>
  <w:num w:numId="21">
    <w:abstractNumId w:val="3"/>
  </w:num>
  <w:num w:numId="20">
    <w:abstractNumId w:val="4"/>
  </w:num>
  <w:num w:numId="18">
    <w:abstractNumId w:val="5"/>
  </w:num>
  <w:num w:numId="17">
    <w:abstractNumId w:val="6"/>
  </w:num>
  <w:num w:numId="16">
    <w:abstractNumId w:val="7"/>
  </w:num>
  <w:num w:numId="15">
    <w:abstractNumId w:val="8"/>
  </w:num>
  <w:num w:numId="19">
    <w:abstractNumId w:val="9"/>
  </w:num>
  <w:num w:numId="14">
    <w:abstractNumId w:val="10"/>
  </w:num>
  <w:num w:numId="12">
    <w:abstractNumId w:val="11"/>
  </w:num>
  <w:num w:numId="11">
    <w:abstractNumId w:val="12"/>
  </w:num>
  <w:num w:numId="3">
    <w:abstractNumId w:val="13"/>
  </w:num>
  <w:num w:numId="1">
    <w:abstractNumId w:val="14"/>
  </w:num>
  <w:num w:numId="10">
    <w:abstractNumId w:val="15"/>
  </w:num>
  <w:num w:numId="4">
    <w:abstractNumId w:val="16"/>
  </w:num>
  <w:num w:numId="5">
    <w:abstractNumId w:val="16"/>
  </w:num>
  <w:num w:numId="6">
    <w:abstractNumId w:val="16"/>
  </w:num>
  <w:num w:numId="7">
    <w:abstractNumId w:val="16"/>
  </w:num>
  <w:num w:numId="24">
    <w:abstractNumId w:val="17"/>
  </w:num>
  <w:num w:numId="8">
    <w:abstractNumId w:val="18"/>
  </w:num>
  <w:num w:numId="2">
    <w:abstractNumId w:val="19"/>
  </w:num>
  <w:num w:numId="9">
    <w:abstractNumId w:val="2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SimSun"/>
      </w:rPr>
    </w:rPrDefault>
    <w:pPrDefault/>
  </w:docDefaults>
  <w:style w:type="paragraph" w:styleId="Title">
    <w:name w:val="Title"/>
    <w:basedOn w:val="Normal"/>
    <w:next w:val="Normal"/>
    <w:qFormat/>
    <w:rPr>
      <w:sz w:val="56"/>
      <w:szCs w:val="56"/>
    </w:rPr>
  </w:style>
  <w:style w:type="paragraph" w:styleId="Heading1">
    <w:basedOn w:val="Normal"/>
    <w:next w:val="Normal"/>
    <w:pPr>
      <w:keepNext/>
      <w:spacing w:before="8pt" w:after="4pt"/>
      <w:ind w:firstLine="0pt"/>
      <w:outlineLvl w:val="0"/>
    </w:pPr>
    <w:rPr>
      <w:rFonts w:eastAsia="MS Mincho"/>
      <w:i/>
      <w:smallCaps/>
    </w:rPr>
  </w:style>
  <w:style w:type="paragraph" w:styleId="Heading2">
    <w:basedOn w:val="Normal"/>
    <w:next w:val="Normal"/>
    <w:pPr>
      <w:keepNext/>
      <w:spacing w:before="6pt" w:after="3pt"/>
      <w:jc w:val="start"/>
      <w:outlineLvl w:val="1"/>
    </w:pPr>
    <w:rPr>
      <w:i/>
    </w:rPr>
  </w:style>
  <w:style w:type="paragraph" w:styleId="Heading3">
    <w:basedOn w:val="Normal"/>
    <w:next w:val="Normal"/>
    <w:pPr>
      <w:spacing w:line="12pt" w:lineRule="exact"/>
      <w:ind w:firstLine="14.40pt"/>
      <w:jc w:val="both"/>
      <w:outlineLvl w:val="2"/>
    </w:pPr>
    <w:rPr>
      <w:i/>
    </w:rPr>
  </w:style>
  <w:style w:type="paragraph" w:styleId="Heading4">
    <w:basedOn w:val="Normal"/>
    <w:next w:val="Normal"/>
    <w:pPr>
      <w:spacing w:before="2pt" w:after="2pt"/>
      <w:ind w:firstLine="25.20pt"/>
      <w:jc w:val="both"/>
      <w:outlineLvl w:val="3"/>
    </w:pPr>
    <w:rPr>
      <w:i/>
    </w:rPr>
  </w:style>
  <w:style w:type="paragraph" w:styleId="Heading5">
    <w:basedOn w:val="Normal"/>
    <w:next w:val="Normal"/>
    <w:pPr>
      <w:spacing w:before="8pt" w:after="4pt"/>
      <w:outlineLvl w:val="4"/>
    </w:pPr>
    <w:rPr>
      <w:i/>
      <w:smallCaps/>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pPr>
      <w:jc w:val="start"/>
    </w:pPr>
    <w:rPr>
      <w:i/>
    </w:rPr>
  </w:style>
  <w:style w:type="paragraph" w:styleId="Abstract">
    <w:pPr>
      <w:spacing w:after="10pt"/>
      <w:ind w:firstLine="13.60pt"/>
      <w:jc w:val="both"/>
    </w:pPr>
    <w:rPr>
      <w:sz w:val="18"/>
      <w:szCs w:val="18"/>
      <w:b/>
      <w:i/>
    </w:rPr>
  </w:style>
  <w:style w:type="paragraph" w:styleId="Affiliation">
    <w:pPr>
      <w:jc w:val="center"/>
    </w:pPr>
  </w:style>
  <w:style w:type="paragraph" w:styleId="Author">
    <w:pPr>
      <w:spacing w:before="5pt" w:after="2pt"/>
      <w:jc w:val="center"/>
    </w:pPr>
    <w:rPr>
      <w:sz w:val="18"/>
      <w:szCs w:val="18"/>
    </w:rPr>
  </w:style>
  <w:style w:type="paragraph" w:styleId="BodyText">
    <w:basedOn w:val="Normal"/>
    <w:pPr>
      <w:spacing w:after="6pt" w:line="11.40pt" w:lineRule="auto"/>
      <w:ind w:firstLine="14.40pt"/>
      <w:jc w:val="both"/>
    </w:pPr>
    <w:rPr>
      <w:b/>
      <w:spacing w:val="-1"/>
    </w:rPr>
  </w:style>
  <w:style w:type="paragraph" w:styleId="bulletlist">
    <w:basedOn w:val="BodyText"/>
    <w:pPr>
      <w:ind w:hanging="14.40pt"/>
    </w:pPr>
    <w:rPr>
      <w:rFonts w:ascii="Symbol" w:hAnsi="Symbol" w:cs="Symbol"/>
      <w:i/>
    </w:rPr>
  </w:style>
  <w:style w:type="paragraph" w:styleId="equation">
    <w:basedOn w:val="Normal"/>
    <w:pPr>
      <w:spacing w:before="12pt" w:after="12pt" w:line="10.80pt" w:lineRule="auto"/>
    </w:pPr>
    <w:rPr>
      <w:rFonts w:ascii="Times New Roman" w:hAnsi="Times New Roman" w:cs="Times New Roman"/>
      <w:i/>
    </w:rPr>
  </w:style>
  <w:style w:type="paragraph" w:styleId="figurecaption">
    <w:pPr>
      <w:spacing w:before="4pt" w:after="10pt"/>
      <w:ind w:firstLine="0pt"/>
      <w:jc w:val="both"/>
    </w:pPr>
    <w:rPr>
      <w:sz w:val="16"/>
      <w:szCs w:val="16"/>
      <w:i/>
    </w:rPr>
  </w:style>
  <w:style w:type="paragraph" w:styleId="footnote">
    <w:pPr>
      <w:spacing w:after="2pt"/>
    </w:pPr>
    <w:rPr>
      <w:sz w:val="16"/>
      <w:szCs w:val="16"/>
    </w:rPr>
  </w:style>
  <w:style w:type="paragraph" w:styleId="papersubtitle">
    <w:pPr>
      <w:spacing w:after="6pt"/>
      <w:jc w:val="center"/>
    </w:pPr>
    <w:rPr>
      <w:rFonts w:eastAsia="MS Mincho"/>
      <w:sz w:val="28"/>
      <w:szCs w:val="28"/>
    </w:rPr>
  </w:style>
  <w:style w:type="paragraph" w:styleId="papertitle">
    <w:pPr>
      <w:spacing w:after="5pt" w:before="5pt"/>
      <w:jc w:val="center"/>
    </w:pPr>
    <w:rPr>
      <w:rFonts w:eastAsia="MS Mincho"/>
      <w:sz w:val="48"/>
      <w:szCs w:val="48"/>
    </w:rPr>
  </w:style>
  <w:style w:type="paragraph" w:styleId="references">
    <w:pPr>
      <w:spacing w:after="2.50pt" w:line="9pt" w:lineRule="exact"/>
      <w:ind w:hanging="17.70pt"/>
      <w:jc w:val="both"/>
    </w:pPr>
    <w:rPr>
      <w:rFonts w:eastAsia="MS Mincho"/>
      <w:sz w:val="16"/>
      <w:szCs w:val="16"/>
      <w:i/>
    </w:rPr>
  </w:style>
  <w:style w:type="paragraph" w:styleId="sponsors">
    <w:pPr>
      <w:ind w:firstLine="14.45pt"/>
    </w:pPr>
    <w:rPr>
      <w:sz w:val="16"/>
      <w:szCs w:val="16"/>
    </w:rPr>
  </w:style>
  <w:style w:type="paragraph" w:styleId="tablecolhead">
    <w:basedOn w:val="Normal"/>
    <w:rPr>
      <w:sz w:val="16"/>
      <w:szCs w:val="16"/>
      <w:b/>
    </w:rPr>
  </w:style>
  <w:style w:type="paragraph" w:styleId="tablecolsubhead">
    <w:basedOn w:val="tablecolhead"/>
    <w:rPr>
      <w:sz w:val="15"/>
      <w:szCs w:val="15"/>
      <w:i/>
    </w:rPr>
  </w:style>
  <w:style w:type="paragraph" w:styleId="tablecopy">
    <w:pPr>
      <w:jc w:val="both"/>
    </w:pPr>
    <w:rPr>
      <w:sz w:val="16"/>
      <w:szCs w:val="16"/>
    </w:rPr>
  </w:style>
  <w:style w:type="paragraph" w:styleId="tablefootnote">
    <w:pPr>
      <w:spacing w:before="3pt" w:after="1.50pt"/>
      <w:ind w:hanging="1.45pt"/>
      <w:jc w:val="end"/>
    </w:pPr>
    <w:rPr>
      <w:sz w:val="12"/>
      <w:szCs w:val="12"/>
      <w:i/>
    </w:rPr>
  </w:style>
  <w:style w:type="paragraph" w:styleId="tablehead">
    <w:pPr>
      <w:spacing w:before="12pt" w:after="6pt" w:line="10.80pt" w:lineRule="auto"/>
      <w:jc w:val="center"/>
    </w:pPr>
    <w:rPr>
      <w:sz w:val="16"/>
      <w:szCs w:val="16"/>
      <w:smallCaps/>
    </w:rPr>
  </w:style>
  <w:style w:type="paragraph" w:styleId="Keywords">
    <w:basedOn w:val="Abstract"/>
    <w:pPr>
      <w:spacing w:after="6pt"/>
      <w:ind w:firstLine="13.70pt"/>
    </w:pPr>
    <w:rPr>
      <w:b/>
      <w:i/>
    </w:rPr>
  </w:style>
  <w:style w:type="paragraph" w:styleId="Header">
    <w:basedOn w:val="Normal"/>
  </w:style>
  <w:style w:type="paragraph" w:styleId="Footer">
    <w:basedOn w:val="Normal"/>
  </w:style>
  <w:style w:type="character" w:styleId="DefaultParagraphFont"/>
  <w:style w:type="character" w:styleId="BodyTextChar">
    <w:rPr>
      <w:spacing w:val="-1"/>
    </w:rPr>
  </w:style>
  <w:style w:type="character" w:styleId="HeaderChar">
    <w:basedOn w:val="DefaultParagraphFont"/>
  </w:style>
  <w:style w:type="character" w:styleId="FooterChar">
    <w:basedOn w:val="DefaultParagraphFon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2026-06-12T15:54:56.293Z</dcterms:created>
  <dcterms:modified xsi:type="dcterms:W3CDTF">2026-06-12T15:54:56.293Z</dcterms:modified>
</cp:coreProperties>
</file>

<file path=docProps/custom.xml><?xml version="1.0" encoding="utf-8"?>
<Properties xmlns="http://schemas.openxmlformats.org/officeDocument/2006/custom-properties" xmlns:vt="http://schemas.openxmlformats.org/officeDocument/2006/docPropsVTypes"/>
</file>