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rPr>
          <w:rFonts w:ascii="黑体;SimHei" w:hAnsi="黑体;SimHei" w:cs="黑体;SimHei" w:eastAsia="黑体;SimHei"/>
          <w:sz w:val="40"/>
          <w:szCs w:val="40"/>
          <w:b/>
        </w:rPr>
      </w:pPr>
      <w:r>
        <w:rPr>
          <w:bCs/>
          <w:rFonts w:ascii="黑体;SimHei" w:hAnsi="黑体;SimHei" w:cs="黑体;SimHei" w:eastAsia="黑体;SimHei"/>
          <w:sz w:val="40"/>
          <w:szCs w:val="40"/>
          <w:b/>
        </w:rPr>
        <w:t xml:space="preserve">Artificial Intelligence in Healthcare: A Comprehensive Survey of Applications, Challenges, and Future Directions</w:t>
      </w:r>
    </w:p>
    <w:p>
      <w:pPr>
        <w:jc w:val="center"/>
        <w:rPr>
          <w:rFonts w:ascii="楷体_GB2312;楷体" w:hAnsi="楷体_GB2312;楷体" w:cs="楷体_GB2312;楷体" w:eastAsia="楷体_GB2312;楷体"/>
          <w:sz w:val="28"/>
          <w:szCs w:val="28"/>
        </w:rPr>
      </w:pPr>
      <w:r>
        <w:rPr>
          <w:rFonts w:ascii="楷体_GB2312;楷体" w:hAnsi="楷体_GB2312;楷体" w:cs="楷体_GB2312;楷体" w:eastAsia="楷体_GB2312;楷体"/>
          <w:sz w:val="28"/>
          <w:szCs w:val="28"/>
        </w:rPr>
        <w:t xml:space="preserve">John Smith</w:t>
      </w:r>
    </w:p>
    <w:p>
      <w:pPr>
        <w:jc w:val="center"/>
        <w:rPr>
          <w:rFonts w:ascii="Times New Roman" w:hAnsi="Times New Roman" w:cs="Times New Roman" w:eastAsia="宋体;SimSun"/>
          <w:sz w:val="18"/>
          <w:szCs w:val="18"/>
        </w:rPr>
      </w:pPr>
      <w:r>
        <w:rPr>
          <w:iCs/>
          <w:rFonts w:ascii="Times New Roman" w:hAnsi="Times New Roman" w:cs="Times New Roman" w:eastAsia="宋体;SimSun"/>
          <w:sz w:val="18"/>
          <w:szCs w:val="18"/>
        </w:rPr>
        <w:t xml:space="preserve">Department of Computer Science, Stanford University, Stanford, CA, USA</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john.smith@stanford.edu</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Jane Doe</w:t>
      </w:r>
    </w:p>
    <w:p>
      <w:pPr>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School of Medicine, Johns Hopkins University, Baltimore, MD, USA</w:t>
      </w:r>
    </w:p>
    <w:p>
      <w:pPr>
        <w:jc w:val="center"/>
        <w:rPr>
          <w:rFonts w:ascii="Times New Roman" w:hAnsi="Times New Roman" w:cs="Times New Roman"/>
          <w:sz w:val="32"/>
          <w:szCs w:val="32"/>
          <w:b/>
        </w:rPr>
      </w:pPr>
      <w:r>
        <w:rPr>
          <w:rFonts w:ascii="Times New Roman" w:hAnsi="Times New Roman" w:cs="Times New Roman"/>
          <w:sz w:val="32"/>
          <w:szCs w:val="32"/>
          <w:b/>
        </w:rPr>
        <w:t xml:space="preserve">jane.doe@jhu.edu</w:t>
      </w:r>
    </w:p>
    <w:p>
      <w:pPr>
        <w:jc w:val="center"/>
        <w:rPr>
          <w:rFonts w:ascii="Times New Roman" w:hAnsi="Times New Roman" w:cs="Times New Roman"/>
          <w:sz w:val="28"/>
          <w:szCs w:val="28"/>
          <w:i/>
        </w:rPr>
      </w:pPr>
      <w:r>
        <w:rPr>
          <w:bCs/>
          <w:rFonts w:ascii="Times New Roman" w:hAnsi="Times New Roman" w:cs="Times New Roman"/>
          <w:sz w:val="28"/>
          <w:szCs w:val="28"/>
          <w:i/>
        </w:rPr>
        <w:t xml:space="preserve">Abstract—</w:t>
      </w:r>
      <w:r>
        <w:rPr>
          <w:rFonts w:ascii="Times New Roman" w:hAnsi="Times New Roman" w:cs="Times New Roman"/>
          <w:sz w:val="28"/>
          <w:szCs w:val="2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center"/>
        <w:rPr>
          <w:rFonts w:ascii="Times New Roman" w:hAnsi="Times New Roman" w:cs="Times New Roman"/>
          <w:sz w:val="18"/>
          <w:szCs w:val="18"/>
        </w:rPr>
      </w:pPr>
      <w:r>
        <w:rPr>
          <w:bCs/>
          <w:rFonts w:ascii="Times New Roman" w:hAnsi="Times New Roman" w:cs="Times New Roman"/>
          <w:sz w:val="18"/>
          <w:szCs w:val="18"/>
        </w:rPr>
        <w:t xml:space="preserve">Keywords—</w:t>
      </w:r>
      <w:r>
        <w:rPr>
          <w:iCs/>
          <w:rFonts w:ascii="Times New Roman" w:hAnsi="Times New Roman" w:cs="Times New Roman"/>
          <w:sz w:val="18"/>
          <w:szCs w:val="18"/>
        </w:rPr>
        <w:t xml:space="preserve">Artificial Intelligence, Healthcare, Medical Imaging, Clinical Decision Support, Drug Discovery, Deep Learning, Survey</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 Introduction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II. AI Techniques in Healthcare</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III. AI in Medical Imaging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Medical imaging is the most mature and clinically impactful domain of healthcare AI, with systems developed for virtually every imaging modality and anatomical region [11].</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Radiology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Pathology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Dermatology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D. Ophthalmology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IV. AI in Drug Discovery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Drug discovery is one of the most costly phases of healthcare innovation, with average timelines of 10-15 years and costs exceeding $2.6 billion per approved drug [22].</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Target Identification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Molecular Design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Clinical Trial Optimization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optimizes clinical trial design through NLP-based patient screening, dropout prediction, and adaptive trial designs that modify trial parameters based on accumulating data [26].</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 AI in Personalized Medicine</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Personalized medicine tailors medical treatment to individual patient characteristics including genetic makeup, lifestyle, and environment.</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Genomics and Precision Oncology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Pharmacogenomics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Digital Biomarkers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VI. AI in Clinical Decision Support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Clinical Decision Support Systems (CDSS) integrate patient data with medical knowledge to assist clinicians. AI-enhanced CDSS represent a significant evolution from traditional rule-based systems [31].</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Diagnostic Support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Predictive Analytics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Treatment Planning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VII. AI in Healthcare Operations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Beyond clinical applications, AI transforms healthcare operations including hospital management, supply chain optimization, and population health management [37].</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enables population health management by identifying at-risk populations and predicting disease outbreaks. Models integrate EHR data with social determinants of health to target preventive interventions [39].</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VIII. AI in Mental Health</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Mental health represents a domain where AI addresses significant unmet needs including limited access to care and diagnostic subjectivity [40].</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Diagnosis and Assessment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Digital Therapeutics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IX. Challenges and Limitations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Data Challenges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Model Challenges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Validation Gap</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X. Ethical and Regulatory Considerations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Algorithmic Bias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Privacy</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sensitivity of healthcare data demands robust governance frameworks. Differential privacy, federated learning, and synthetic data offer technical solutions requiring careful evaluation [50].</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Regulatory Frameworks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XI. Future Directions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A. Foundation Models for Medicine</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B. Multimodal Learning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Healthcare inherently involves multiple data modalities. Multimodal systems integrating imaging, genomics, and clinical notes show superior performance for diagnosis and prognosis [54].</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C. Federated Learning</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pStyle w:val="Heading2"/>
        <w:spacing w:line="314" w:lineRule="exact"/>
        <w:ind w:firstLine="420"/>
        <w:jc w:val="both"/>
        <w:rPr>
          <w:rFonts w:ascii="Times New Roman" w:hAnsi="Times New Roman" w:cs="Times New Roman" w:eastAsia="宋体;SimSun"/>
          <w:sz w:val="21"/>
          <w:szCs w:val="21"/>
        </w:rPr>
      </w:pPr>
      <w:r>
        <w:rPr>
          <w:iCs/>
          <w:rFonts w:ascii="Times New Roman" w:hAnsi="Times New Roman" w:cs="Times New Roman" w:eastAsia="宋体;SimSun"/>
          <w:sz w:val="21"/>
          <w:szCs w:val="21"/>
        </w:rPr>
        <w:t xml:space="preserve">D. Causal ML</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pStyle w:val="Heading1"/>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XII. Conclusion</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pStyle w:val="Heading5"/>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ACKNOWLEDGMENT</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 xml:space="preserve">The authors thank the reviewers for constructive feedback that improved this manuscript.</w:t>
      </w:r>
    </w:p>
    <w:p>
      <w:pPr>
        <w:pStyle w:val="Heading5"/>
        <w:spacing w:line="314" w:lineRule="exact"/>
        <w:ind w:firstLine="420"/>
        <w:jc w:val="both"/>
        <w:rPr>
          <w:rFonts w:ascii="Times New Roman" w:hAnsi="Times New Roman" w:cs="Times New Roman" w:eastAsia="宋体;SimSun"/>
          <w:sz w:val="21"/>
          <w:szCs w:val="21"/>
        </w:rPr>
      </w:pPr>
      <w:r>
        <w:rPr>
          <w:bCs/>
          <w:rFonts w:ascii="Times New Roman" w:hAnsi="Times New Roman" w:cs="Times New Roman" w:eastAsia="宋体;SimSun"/>
          <w:sz w:val="21"/>
          <w:szCs w:val="21"/>
        </w:rPr>
        <w:t xml:space="preserve">REFERENCES</w:t>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[17] P. Hamet and J. Tremblay, "Artificial intelligence in medicine," Metabolism, vol. 69, pp. S36-S40, 2017.</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[29] A. L. Beam and I. S. Kohane, "Big data and machine learning in health care," JAMA, vol. 319, no. 13, pp. 1317-1318,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line="314" w:lineRule="exact"/>
        <w:ind w:firstLine="420"/>
        <w:jc w:val="both"/>
        <w:rPr>
          <w:rFonts w:ascii="Times New Roman" w:hAnsi="Times New Roman" w:cs="Times New Roman" w:eastAsia="宋体;SimSun"/>
          <w:sz w:val="21"/>
          <w:szCs w:val="21"/>
        </w:rPr>
      </w:pPr>
      <w:r>
        <w:rPr>
          <w:rFonts w:ascii="Times New Roman" w:hAnsi="Times New Roman" w:cs="Times New Roman" w:eastAsia="宋体;SimSun"/>
          <w:sz w:val="21"/>
          <w:szCs w:val="21"/>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sectPr>
      <w:headerReference w:type="default" r:id="rId7"/>
      <w:footerReference w:type="default" r:id="rId8"/>
      <w:pgSz w:w="595.30pt" w:h="841.90pt" w:orient="portrait"/>
      <w:pgMar w:top="54pt" w:right="44.65pt" w:bottom="72pt" w:left="44.65pt" w:header="36pt" w:footer="36pt" w:gutter="0pt"/>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