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pt" w:after="5pt"/>
        <w:jc w:val="center"/>
        <w:rPr>
          <w:rFonts w:ascii="Times New Roman" w:hAnsi="Times New Roman" w:cs="Times New Roman"/>
          <w:sz w:val="48"/>
          <w:szCs w:val="48"/>
          <w:b/>
        </w:rPr>
      </w:pPr>
      <w:r>
        <w:rPr>
          <w:bCs/>
          <w:rFonts w:ascii="Times New Roman" w:hAnsi="Times New Roman" w:cs="Times New Roman"/>
          <w:sz w:val="48"/>
          <w:szCs w:val="48"/>
          <w:b/>
        </w:rPr>
        <w:t xml:space="preserve">Artificial Intelligence in Healthcare: A Comprehensive Survey of Applications, Challenges, and Future Directions</w:t>
      </w:r>
    </w:p>
    <w:p>
      <w:pPr>
        <w:pStyle w:val="Author"/>
        <w:spacing w:before="5pt" w:after="2pt"/>
        <w:jc w:val="center"/>
        <w:rPr>
          <w:sz w:val="18"/>
          <w:szCs w:val="18"/>
        </w:rPr>
      </w:pPr>
      <w:r>
        <w:rPr>
          <w:sz w:val="18"/>
          <w:szCs w:val="18"/>
        </w:rPr>
        <w:t>John Smith</w:t>
      </w:r>
      <w:r>
        <w:rPr>
          <w:sz w:val="18"/>
          <w:szCs w:val="18"/>
        </w:rPr>
        <w:br/>
        <w:t>Department of Computer Science, Stanford University, Stanford, CA, USA</w:t>
      </w:r>
      <w:r>
        <w:rPr>
          <w:sz w:val="18"/>
          <w:szCs w:val="18"/>
        </w:rPr>
        <w:br/>
        <w:t>john.smith@stanford.edu</w:t>
      </w:r>
    </w:p>
    <w:p>
      <w:pPr>
        <w:pStyle w:val="Author"/>
        <w:spacing w:before="5pt" w:after="2pt"/>
        <w:jc w:val="center"/>
        <w:rPr>
          <w:sz w:val="18"/>
          <w:szCs w:val="18"/>
        </w:rPr>
        <w:sectPr>
          <w:type w:val="continuous"/>
        </w:sectPr>
      </w:pPr>
      <w:r>
        <w:rPr>
          <w:sz w:val="18"/>
          <w:szCs w:val="18"/>
        </w:rPr>
        <w:t>Jane Doe</w:t>
      </w:r>
      <w:r>
        <w:rPr>
          <w:sz w:val="18"/>
          <w:szCs w:val="18"/>
        </w:rPr>
        <w:br/>
        <w:t>School of Medicine, Johns Hopkins University, Baltimore, MD, USA</w:t>
      </w:r>
      <w:r>
        <w:rPr>
          <w:sz w:val="18"/>
          <w:szCs w:val="18"/>
        </w:rPr>
        <w:br/>
        <w:t>jane.doe@jhu.edu</w:t>
      </w:r>
    </w:p>
    <w:p>
      <w:pPr>
        <w:jc w:val="both"/>
        <w:rPr>
          <w:sz w:val="18"/>
          <w:szCs w:val="18"/>
          <w:i/>
        </w:rPr>
      </w:pPr>
      <w:r>
        <w:rPr>
          <w:bCs/>
          <w:sz w:val="18"/>
          <w:szCs w:val="18"/>
          <w:b/>
        </w:rPr>
        <w:t xml:space="preserve">Abstract—</w:t>
      </w:r>
      <w:r>
        <w:rPr>
          <w:sz w:val="18"/>
          <w:szCs w:val="18"/>
          <w:i/>
        </w:rPr>
        <w:t xml:space="preserve">Artificial Intelligence (AI) has emerged as a transformative force in healthcare, offering unprecedented capabilities in diagnosis, treatment planning, drug discovery, and patient care management. This comprehensive survey systematically reviews the landscape of AI applications across major healthcare domains, examining over 300 representative studies published between 2018 and 2026. We analyze key technical approaches including deep learning, natural language processing, computer vision, and reinforcement learning as applied to medical imaging, clinical decision support, drug discovery, personalized medicine, mental health, and healthcare operations. Our analysis reveals that while AI has achieved remarkable performance in specific narrow tasks—particularly in medical image interpretation—significant challenges remain in data standardization, model generalization, interpretability, and regulatory approval. We examine ethical considerations including algorithmic bias, patient privacy, informed consent, and the evolving regulatory landscape. Based on our analysis, we propose a framework for responsible AI integration in healthcare and outline promising research directions including foundation models for medicine, multimodal learning, and federated learning.</w:t>
      </w:r>
    </w:p>
    <w:p>
      <w:pPr>
        <w:jc w:val="both"/>
        <w:rPr>
          <w:sz w:val="18"/>
          <w:szCs w:val="18"/>
          <w:i/>
        </w:rPr>
      </w:pPr>
      <w:r>
        <w:rPr>
          <w:bCs/>
          <w:sz w:val="18"/>
          <w:szCs w:val="18"/>
          <w:b/>
        </w:rPr>
        <w:t xml:space="preserve">Keywords—</w:t>
      </w:r>
      <w:r>
        <w:rPr>
          <w:iCs/>
          <w:sz w:val="18"/>
          <w:szCs w:val="18"/>
          <w:i/>
        </w:rPr>
        <w:t xml:space="preserve">Artificial Intelligence, Healthcare, Medical Imaging, Clinical Decision Support, Drug Discovery, Deep Learning, Survey</w:t>
      </w:r>
    </w:p>
    <w:p>
      <w:pPr>
        <w:pStyle w:val="Heading1"/>
        <w:keepNext/>
        <w:spacing w:before="8pt" w:after="4pt"/>
        <w:jc w:val="left"/>
        <w:rPr>
          <w:sz w:val="24"/>
          <w:szCs w:val="24"/>
          <w:i/>
          <w:smallCaps/>
        </w:rPr>
      </w:pPr>
      <w:r>
        <w:rPr>
          <w:bCs/>
          <w:sz w:val="24"/>
          <w:szCs w:val="24"/>
          <w:i/>
          <w:smallCaps/>
        </w:rPr>
        <w:t xml:space="preserve">I. Introduction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integration of Artificial Intelligence (AI) into healthcare represents one of the most significant technological transformations in modern medicine. Over the past decade, advances in machine learning, particularly deep learning, have enabled computers to perform tasks that were once exclusively within the domain of human expertise—from interpreting radiological images to predicting patient outcomes and discovering novel therapeutic compounds [1], [2].</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systems worldwide face significant challenges, including aging populations, rising chronic disease burdens, workforce shortages, and escalating costs. AI offers the potential to address these challenges through automation of routine tasks, augmentation of human decision-making, and discovery of patterns and insights that would be impossible for humans to detect unaided [3]. The global AI healthcare market was valued at approximately $15.4 billion in 2023 and is projected to exceed $208 billion by 2030, reflecting the enormous potential and growing investment in this field [4].</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This survey provides a comprehensive and structured review of AI applications across the healthcare spectrum. We examine six major domains: medical imaging and diagnosis, drug discovery and development, personalized medicine and genomics, clinical decision support systems, healthcare operations, and mental health. For each domain, we analyze state-of-the-art approaches, key achievements, persistent challenges, and future directions.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remainder of this paper is organized as follows. Section II provides background on AI techniques commonly used in healthcare. Sections III through VIII examine specific application domains. Section IX discusses cross-cutting challenges and limitations. Section X addresses ethical and regulatory considerations. Section XI outlines future research directions. Section XII concludes the paper.</w:t>
      </w:r>
    </w:p>
    <w:p>
      <w:pPr>
        <w:pStyle w:val="Heading1"/>
        <w:keepNext/>
        <w:spacing w:before="8pt" w:after="4pt"/>
        <w:jc w:val="left"/>
        <w:rPr>
          <w:sz w:val="24"/>
          <w:szCs w:val="24"/>
          <w:i/>
          <w:smallCaps/>
        </w:rPr>
      </w:pPr>
      <w:r>
        <w:rPr>
          <w:bCs/>
          <w:sz w:val="24"/>
          <w:szCs w:val="24"/>
          <w:i/>
          <w:smallCaps/>
        </w:rPr>
        <w:t xml:space="preserve">II. AI Techniques in Healthcare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Modern AI in healthcare draws upon several interconnected subfields of machine learning and artificial intelligence. Deep learning, based on multi-layer artificial neural networks, has been the primary driver of recent advances. Convolutional Neural Networks (CNNs) have proven exceptionally effective for medical image analysis, achieving state-of-the-art performance in tasks from skin cancer classification to retinal disease detection [5]. Transformer architectures, originally developed for NLP, have been increasingly applied to healthcare tasks, with Vision Transformers showing competitive performance on medical imaging benchmarks [6].</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Natural Language Processing (NLP) enables extraction of structured information from unstructured clinical text. Models such as BioBERT and ClinicalBERT have been fine-tuned for medical entity recognition and clinical note summarization [7]. Large language models like GPT-4 and Med-PaLM 2 have demonstrated impressive medical question-answering capabilities, though concerns about factual accuracy remain [8].</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Reinforcement Learning (RL) has found important applications in critical care, optimizing treatment strategies for sepsis management, mechanical ventilation weaning, and fluid resuscitation [9]. Generative models including GANs, VAEs, and diffusion models enable synthetic medical image generation for data augmentation and privacy-preserving data sharing [10].</w:t>
      </w:r>
    </w:p>
    <w:p>
      <w:pPr>
        <w:pStyle w:val="Heading1"/>
        <w:keepNext/>
        <w:spacing w:before="8pt" w:after="4pt"/>
        <w:jc w:val="left"/>
        <w:rPr>
          <w:sz w:val="24"/>
          <w:szCs w:val="24"/>
          <w:i/>
          <w:smallCaps/>
        </w:rPr>
      </w:pPr>
      <w:r>
        <w:rPr>
          <w:bCs/>
          <w:sz w:val="24"/>
          <w:szCs w:val="24"/>
          <w:i/>
          <w:smallCaps/>
        </w:rPr>
        <w:t xml:space="preserve">III. AI in Medical Imaging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Medical imaging is the most mature and clinically impactful domain of healthcare AI, with systems developed for virtually every imaging modality and anatomical region [11].</w:t>
      </w:r>
    </w:p>
    <w:p>
      <w:pPr>
        <w:pStyle w:val="Heading2"/>
        <w:keepNext/>
        <w:spacing w:before="6pt" w:after="3pt"/>
        <w:jc w:val="left"/>
        <w:rPr>
          <w:sz w:val="21"/>
          <w:szCs w:val="21"/>
          <w:i/>
        </w:rPr>
      </w:pPr>
      <w:r>
        <w:rPr>
          <w:iCs/>
          <w:sz w:val="21"/>
          <w:szCs w:val="21"/>
          <w:i/>
        </w:rPr>
        <w:t xml:space="preserve">A. Radiology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Radiology has been at the forefront of AI integration. Studies demonstrate AI systems achieving radiologist-level performance in detecting pulmonary nodules on chest CT, breast cancer screening mammography, and intracranial hemorrhage on head CT [12], [13]. A landmark prospective study by McKinney et al. [14] showed that an AI system for breast cancer screening reduced false positives by 5.7% and false negatives by 9.4% compared to double reading by radiologists.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Despite impressive results, fewer than 1% of published studies are prospective validation studies, and only a handful demonstrate improved patient outcomes [15]. This gap between retrospective performance and clinical effectiveness remains critical.</w:t>
      </w:r>
    </w:p>
    <w:p>
      <w:pPr>
        <w:pStyle w:val="Heading2"/>
        <w:keepNext/>
        <w:spacing w:before="6pt" w:after="3pt"/>
        <w:jc w:val="left"/>
        <w:rPr>
          <w:sz w:val="21"/>
          <w:szCs w:val="21"/>
          <w:i/>
        </w:rPr>
      </w:pPr>
      <w:r>
        <w:rPr>
          <w:iCs/>
          <w:sz w:val="21"/>
          <w:szCs w:val="21"/>
          <w:i/>
        </w:rPr>
        <w:t xml:space="preserve">B. Pathology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Digital pathology has enabled deep learning for histological image analysis. AI systems demonstrate remarkable performance in tumor detection and grading, mitotic figure counting, and biomarker quantification [16]. The CAMELYON grand challenges drove advances in lymph node metastasis detection, with top algorithms achieving AUCs exceeding 0.99 [17].</w:t>
      </w:r>
    </w:p>
    <w:p>
      <w:pPr>
        <w:pStyle w:val="Heading2"/>
        <w:keepNext/>
        <w:spacing w:before="6pt" w:after="3pt"/>
        <w:jc w:val="left"/>
        <w:rPr>
          <w:sz w:val="21"/>
          <w:szCs w:val="21"/>
          <w:i/>
        </w:rPr>
      </w:pPr>
      <w:r>
        <w:rPr>
          <w:iCs/>
          <w:sz w:val="21"/>
          <w:szCs w:val="21"/>
          <w:i/>
        </w:rPr>
        <w:t xml:space="preserve">C. Dermatology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systems for skin lesion classification achieve accuracy comparable to board-certified dermatologists [18]. However, training datasets predominantly contain lighter skin types, raising concerns about performance disparities across demographic groups [19].</w:t>
      </w:r>
    </w:p>
    <w:p>
      <w:pPr>
        <w:pStyle w:val="Heading2"/>
        <w:keepNext/>
        <w:spacing w:before="6pt" w:after="3pt"/>
        <w:jc w:val="left"/>
        <w:rPr>
          <w:sz w:val="21"/>
          <w:szCs w:val="21"/>
          <w:i/>
        </w:rPr>
      </w:pPr>
      <w:r>
        <w:rPr>
          <w:iCs/>
          <w:sz w:val="21"/>
          <w:szCs w:val="21"/>
          <w:i/>
        </w:rPr>
        <w:t xml:space="preserve">D. Ophthalmology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Ophthalmology has seen the earliest FDA-approved AI systems, particularly for diabetic retinopathy screening. The IDx-DR system, approved in 2018, was the first autonomous AI diagnostic system authorized for clinical use [20]. Deep learning for retinal image analysis has also demonstrated ability to predict cardiovascular risk factors and chronic kidney disease from fundus photographs alone [21].</w:t>
      </w:r>
    </w:p>
    <w:p>
      <w:pPr>
        <w:pStyle w:val="Heading1"/>
        <w:keepNext/>
        <w:spacing w:before="8pt" w:after="4pt"/>
        <w:jc w:val="left"/>
        <w:rPr>
          <w:sz w:val="24"/>
          <w:szCs w:val="24"/>
          <w:i/>
          <w:smallCaps/>
        </w:rPr>
      </w:pPr>
      <w:r>
        <w:rPr>
          <w:bCs/>
          <w:sz w:val="24"/>
          <w:szCs w:val="24"/>
          <w:i/>
          <w:smallCaps/>
        </w:rPr>
        <w:t xml:space="preserve">IV. AI in Drug Discovery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Drug discovery is one of the most costly phases of healthcare innovation, with average timelines of 10-15 years and costs exceeding $2.6 billion per approved drug [22].</w:t>
      </w:r>
    </w:p>
    <w:p>
      <w:pPr>
        <w:pStyle w:val="Heading2"/>
        <w:keepNext/>
        <w:spacing w:before="6pt" w:after="3pt"/>
        <w:jc w:val="left"/>
        <w:rPr>
          <w:sz w:val="21"/>
          <w:szCs w:val="21"/>
          <w:i/>
        </w:rPr>
      </w:pPr>
      <w:r>
        <w:rPr>
          <w:iCs/>
          <w:sz w:val="21"/>
          <w:szCs w:val="21"/>
          <w:i/>
        </w:rPr>
        <w:t xml:space="preserve">A. Target Identification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techniques identify novel drug targets by integrating multi-omics data, protein interaction networks, and literature mining. Graph neural networks predict protein-protein interactions and identify disease-associated genes [23].</w:t>
      </w:r>
    </w:p>
    <w:p>
      <w:pPr>
        <w:pStyle w:val="Heading2"/>
        <w:keepNext/>
        <w:spacing w:before="6pt" w:after="3pt"/>
        <w:jc w:val="left"/>
        <w:rPr>
          <w:sz w:val="21"/>
          <w:szCs w:val="21"/>
          <w:i/>
        </w:rPr>
      </w:pPr>
      <w:r>
        <w:rPr>
          <w:iCs/>
          <w:sz w:val="21"/>
          <w:szCs w:val="21"/>
          <w:i/>
        </w:rPr>
        <w:t xml:space="preserve">B. Molecular Design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significantly improved binding affinity prediction accuracy. Generative models like MolGAN and REINVENT can generate novel molecular structures with desired pharmacological properties [24]. AlphaFold2 achieved near-experimental accuracy in protein structure prediction, with profound implications for structure-based drug design [25].</w:t>
      </w:r>
    </w:p>
    <w:p>
      <w:pPr>
        <w:pStyle w:val="Heading2"/>
        <w:keepNext/>
        <w:spacing w:before="6pt" w:after="3pt"/>
        <w:jc w:val="left"/>
        <w:rPr>
          <w:sz w:val="21"/>
          <w:szCs w:val="21"/>
          <w:i/>
        </w:rPr>
      </w:pPr>
      <w:r>
        <w:rPr>
          <w:iCs/>
          <w:sz w:val="21"/>
          <w:szCs w:val="21"/>
          <w:i/>
        </w:rPr>
        <w:t xml:space="preserve">C. Clinical Trial Optimization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optimizes clinical trial design through NLP-based patient screening, dropout prediction, and adaptive trial designs that modify trial parameters based on accumulating data [26].</w:t>
      </w:r>
    </w:p>
    <w:p>
      <w:pPr>
        <w:pStyle w:val="Heading1"/>
        <w:keepNext/>
        <w:spacing w:before="8pt" w:after="4pt"/>
        <w:jc w:val="left"/>
        <w:rPr>
          <w:sz w:val="24"/>
          <w:szCs w:val="24"/>
          <w:i/>
          <w:smallCaps/>
        </w:rPr>
      </w:pPr>
      <w:r>
        <w:rPr>
          <w:bCs/>
          <w:sz w:val="24"/>
          <w:szCs w:val="24"/>
          <w:i/>
          <w:smallCaps/>
        </w:rPr>
        <w:t xml:space="preserve">V. AI in Personalized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Personalized medicine tailors medical treatment to individual patient characteristics including genetic makeup, lifestyle, and environment.</w:t>
      </w:r>
    </w:p>
    <w:p>
      <w:pPr>
        <w:pStyle w:val="Heading2"/>
        <w:keepNext/>
        <w:spacing w:before="6pt" w:after="3pt"/>
        <w:jc w:val="left"/>
        <w:rPr>
          <w:sz w:val="21"/>
          <w:szCs w:val="21"/>
          <w:i/>
        </w:rPr>
      </w:pPr>
      <w:r>
        <w:rPr>
          <w:iCs/>
          <w:sz w:val="21"/>
          <w:szCs w:val="21"/>
          <w:i/>
        </w:rPr>
        <w:t xml:space="preserve">A. Genomics and Precision Oncology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has been applied to variant calling, functional annotation of genetic variants, and prediction of gene expression from DNA sequence [27]. In oncology, AI systems integrate genomic, transcriptomic, and clinical data to predict treatment response and identify actionable mutations [28]. Deep learning models for drug sensitivity prediction show promise in guiding treatment selection.</w:t>
      </w:r>
    </w:p>
    <w:p>
      <w:pPr>
        <w:pStyle w:val="Heading2"/>
        <w:keepNext/>
        <w:spacing w:before="6pt" w:after="3pt"/>
        <w:jc w:val="left"/>
        <w:rPr>
          <w:sz w:val="21"/>
          <w:szCs w:val="21"/>
          <w:i/>
        </w:rPr>
      </w:pPr>
      <w:r>
        <w:rPr>
          <w:iCs/>
          <w:sz w:val="21"/>
          <w:szCs w:val="21"/>
          <w:i/>
        </w:rPr>
        <w:t xml:space="preserve">B. Pharmacogenomics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approaches predict drug toxicity, metabolism, and efficacy based on genetic markers. Deep learning models integrating pharmacogenomic data with chemical structure information improve adverse drug reaction prediction accuracy [29].</w:t>
      </w:r>
    </w:p>
    <w:p>
      <w:pPr>
        <w:pStyle w:val="Heading2"/>
        <w:keepNext/>
        <w:spacing w:before="6pt" w:after="3pt"/>
        <w:jc w:val="left"/>
        <w:rPr>
          <w:sz w:val="21"/>
          <w:szCs w:val="21"/>
          <w:i/>
        </w:rPr>
      </w:pPr>
      <w:r>
        <w:rPr>
          <w:iCs/>
          <w:sz w:val="21"/>
          <w:szCs w:val="21"/>
          <w:i/>
        </w:rPr>
        <w:t xml:space="preserve">C. Digital Biomarkers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Wearable devices and mobile health technologies enable AI-powered digital biomarker discovery. Algorithms analyze sensor data to derive clinically relevant biomarkers including early detection of atrial fibrillation and prediction of Parkinson's disease severity from gait analysis [30].</w:t>
      </w:r>
    </w:p>
    <w:p>
      <w:pPr>
        <w:pStyle w:val="Heading1"/>
        <w:keepNext/>
        <w:spacing w:before="8pt" w:after="4pt"/>
        <w:jc w:val="left"/>
        <w:rPr>
          <w:sz w:val="24"/>
          <w:szCs w:val="24"/>
          <w:i/>
          <w:smallCaps/>
        </w:rPr>
      </w:pPr>
      <w:r>
        <w:rPr>
          <w:bCs/>
          <w:sz w:val="24"/>
          <w:szCs w:val="24"/>
          <w:i/>
          <w:smallCaps/>
        </w:rPr>
        <w:t xml:space="preserve">VI. AI in Clinical Decision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Clinical Decision Support Systems (CDSS) integrate patient data with medical knowledge to assist clinicians. AI-enhanced CDSS represent a significant evolution from traditional rule-based systems [31].</w:t>
      </w:r>
    </w:p>
    <w:p>
      <w:pPr>
        <w:pStyle w:val="Heading2"/>
        <w:keepNext/>
        <w:spacing w:before="6pt" w:after="3pt"/>
        <w:jc w:val="left"/>
        <w:rPr>
          <w:sz w:val="21"/>
          <w:szCs w:val="21"/>
          <w:i/>
        </w:rPr>
      </w:pPr>
      <w:r>
        <w:rPr>
          <w:iCs/>
          <w:sz w:val="21"/>
          <w:szCs w:val="21"/>
          <w:i/>
        </w:rPr>
        <w:t xml:space="preserve">A. Diagnostic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 emergency medicine, AI systems analyze vital signs and laboratory results to predict sepsis and acute kidney injury [32]. The Epic Sepsis Model demonstrated mixed results, with performance varying significantly across institutions [33]. AI triage systems such as Babylon Health show reasonable diagnostic accuracy for common conditions though concerns about rare presentations remain.</w:t>
      </w:r>
    </w:p>
    <w:p>
      <w:pPr>
        <w:pStyle w:val="Heading2"/>
        <w:keepNext/>
        <w:spacing w:before="6pt" w:after="3pt"/>
        <w:jc w:val="left"/>
        <w:rPr>
          <w:sz w:val="21"/>
          <w:szCs w:val="21"/>
          <w:i/>
        </w:rPr>
      </w:pPr>
      <w:r>
        <w:rPr>
          <w:iCs/>
          <w:sz w:val="21"/>
          <w:szCs w:val="21"/>
          <w:i/>
        </w:rPr>
        <w:t xml:space="preserve">B. Predictive Analytics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models on EHR data demonstrate superior performance for in-hospital mortality prediction and length-of-stay forecasting [34]. Temporal models including RNNs and transformers enable sophisticated analysis of longitudinal patient data, learning meaningful representations of health trajectories [35].</w:t>
      </w:r>
    </w:p>
    <w:p>
      <w:pPr>
        <w:pStyle w:val="Heading2"/>
        <w:keepNext/>
        <w:spacing w:before="6pt" w:after="3pt"/>
        <w:jc w:val="left"/>
        <w:rPr>
          <w:sz w:val="21"/>
          <w:szCs w:val="21"/>
          <w:i/>
        </w:rPr>
      </w:pPr>
      <w:r>
        <w:rPr>
          <w:iCs/>
          <w:sz w:val="21"/>
          <w:szCs w:val="21"/>
          <w:i/>
        </w:rPr>
        <w:t xml:space="preserve">C. Treatment Planning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assist in radiation oncology by segmenting tumors and organs-at-risk, predicting optimal dose distributions, and adapting plans based on daily imaging [36]. In critical care, AI-based ventilation management reduces duration of mechanical ventilation.</w:t>
      </w:r>
    </w:p>
    <w:p>
      <w:pPr>
        <w:pStyle w:val="Heading1"/>
        <w:keepNext/>
        <w:spacing w:before="8pt" w:after="4pt"/>
        <w:jc w:val="left"/>
        <w:rPr>
          <w:sz w:val="24"/>
          <w:szCs w:val="24"/>
          <w:i/>
          <w:smallCaps/>
        </w:rPr>
      </w:pPr>
      <w:r>
        <w:rPr>
          <w:bCs/>
          <w:sz w:val="24"/>
          <w:szCs w:val="24"/>
          <w:i/>
          <w:smallCaps/>
        </w:rPr>
        <w:t xml:space="preserve">VII. AI in Healthcare Operations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Beyond clinical applications, AI transforms healthcare operations including hospital management, supply chain optimization, and population health management [37].</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optimize bed management, operating room scheduling, and staff allocation. Machine learning models predict patient admission rates enabling proactive resource allocation [38]. Computer vision systems monitor hand hygiene compliance and patient falls.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enables population health management by identifying at-risk populations and predicting disease outbreaks. Models integrate EHR data with social determinants of health to target preventive interventions [39].</w:t>
      </w:r>
    </w:p>
    <w:p>
      <w:pPr>
        <w:pStyle w:val="Heading1"/>
        <w:keepNext/>
        <w:spacing w:before="8pt" w:after="4pt"/>
        <w:jc w:val="left"/>
        <w:rPr>
          <w:sz w:val="24"/>
          <w:szCs w:val="24"/>
          <w:i/>
          <w:smallCaps/>
        </w:rPr>
      </w:pPr>
      <w:r>
        <w:rPr>
          <w:bCs/>
          <w:sz w:val="24"/>
          <w:szCs w:val="24"/>
          <w:i/>
          <w:smallCaps/>
        </w:rPr>
        <w:t xml:space="preserve">VIII. AI in Mental Health</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Mental health represents a domain where AI addresses significant unmet needs including limited access to care and diagnostic subjectivity [40].</w:t>
      </w:r>
    </w:p>
    <w:p>
      <w:pPr>
        <w:pStyle w:val="Heading2"/>
        <w:keepNext/>
        <w:spacing w:before="6pt" w:after="3pt"/>
        <w:jc w:val="left"/>
        <w:rPr>
          <w:sz w:val="21"/>
          <w:szCs w:val="21"/>
          <w:i/>
        </w:rPr>
      </w:pPr>
      <w:r>
        <w:rPr>
          <w:iCs/>
          <w:sz w:val="21"/>
          <w:szCs w:val="21"/>
          <w:i/>
        </w:rPr>
        <w:t xml:space="preserve">A. Diagnosis and Assessment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leverage speech patterns, facial expressions, social media activity, and sensor data for mental health assessment. NLP of clinical interviews detects depression and anxiety from speech patterns and word choice [41].</w:t>
      </w:r>
    </w:p>
    <w:p>
      <w:pPr>
        <w:pStyle w:val="Heading2"/>
        <w:keepNext/>
        <w:spacing w:before="6pt" w:after="3pt"/>
        <w:jc w:val="left"/>
        <w:rPr>
          <w:sz w:val="21"/>
          <w:szCs w:val="21"/>
          <w:i/>
        </w:rPr>
      </w:pPr>
      <w:r>
        <w:rPr>
          <w:iCs/>
          <w:sz w:val="21"/>
          <w:szCs w:val="21"/>
          <w:i/>
        </w:rPr>
        <w:t xml:space="preserve">B. Digital Therapeutics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AI-powered platforms like Woebot and Wysa deliver cognitive behavioral therapy through chatbot interfaces, demonstrating efficacy in randomized controlled trials [42]. Reinforcement learning optimizes timing and content of therapeutic interventions based on individual patient response.</w:t>
      </w:r>
    </w:p>
    <w:p>
      <w:pPr>
        <w:pStyle w:val="Heading1"/>
        <w:keepNext/>
        <w:spacing w:before="8pt" w:after="4pt"/>
        <w:jc w:val="left"/>
        <w:rPr>
          <w:sz w:val="24"/>
          <w:szCs w:val="24"/>
          <w:i/>
          <w:smallCaps/>
        </w:rPr>
      </w:pPr>
      <w:r>
        <w:rPr>
          <w:bCs/>
          <w:sz w:val="24"/>
          <w:szCs w:val="24"/>
          <w:i/>
          <w:smallCaps/>
        </w:rPr>
        <w:t xml:space="preserve">IX. Challenges and Limitations</w:t>
      </w:r>
    </w:p>
    <w:p>
      <w:pPr>
        <w:pStyle w:val="Heading2"/>
        <w:keepNext/>
        <w:spacing w:before="6pt" w:after="3pt"/>
        <w:jc w:val="left"/>
        <w:rPr>
          <w:sz w:val="21"/>
          <w:szCs w:val="21"/>
          <w:i/>
        </w:rPr>
      </w:pPr>
      <w:r>
        <w:rPr>
          <w:iCs/>
          <w:sz w:val="21"/>
          <w:szCs w:val="21"/>
          <w:i/>
        </w:rPr>
        <w:t xml:space="preserve">A. Data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data is notoriously heterogeneous with variations in acquisition protocols, equipment, and documentation practices across institutions. This poses fundamental challenges for developing generalizable models [43]. Label noise from inter-rater variability significantly degrades performance. Privacy regulations including HIPAA and GDPR create barriers to data sharing, though federated learning offers potential solutions [44].</w:t>
      </w:r>
    </w:p>
    <w:p>
      <w:pPr>
        <w:pStyle w:val="Heading2"/>
        <w:keepNext/>
        <w:spacing w:before="6pt" w:after="3pt"/>
        <w:jc w:val="left"/>
        <w:rPr>
          <w:sz w:val="21"/>
          <w:szCs w:val="21"/>
          <w:i/>
        </w:rPr>
      </w:pPr>
      <w:r>
        <w:rPr>
          <w:iCs/>
          <w:sz w:val="21"/>
          <w:szCs w:val="21"/>
          <w:i/>
        </w:rPr>
        <w:t xml:space="preserve">B. Model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models trained at one institution often fail to generalize to new settings due to distribution shift in patient populations, equipment, and clinical practices [45]. The black-box nature of deep learning creates tension with medical requirements for explainable decision-making [46]. Reliable uncertainty quantification remains challenging despite progress with Bayesian methods and conformal prediction [47].</w:t>
      </w:r>
    </w:p>
    <w:p>
      <w:pPr>
        <w:pStyle w:val="Heading2"/>
        <w:keepNext/>
        <w:spacing w:before="6pt" w:after="3pt"/>
        <w:jc w:val="left"/>
        <w:rPr>
          <w:sz w:val="21"/>
          <w:szCs w:val="21"/>
          <w:i/>
        </w:rPr>
      </w:pPr>
      <w:r>
        <w:rPr>
          <w:iCs/>
          <w:sz w:val="21"/>
          <w:szCs w:val="21"/>
          <w:i/>
        </w:rPr>
        <w:t xml:space="preserve">C. Validation Gap</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Only 0.7% of published AI healthcare studies use prospective validation designs, and most have high risk of bias [48]. The CONSORT-AI and SPIRIT-AI guidelines represent progress but adoption remains limited.</w:t>
      </w:r>
    </w:p>
    <w:p>
      <w:pPr>
        <w:pStyle w:val="Heading1"/>
        <w:keepNext/>
        <w:spacing w:before="8pt" w:after="4pt"/>
        <w:jc w:val="left"/>
        <w:rPr>
          <w:sz w:val="24"/>
          <w:szCs w:val="24"/>
          <w:i/>
          <w:smallCaps/>
        </w:rPr>
      </w:pPr>
      <w:r>
        <w:rPr>
          <w:bCs/>
          <w:sz w:val="24"/>
          <w:szCs w:val="24"/>
          <w:i/>
          <w:smallCaps/>
        </w:rPr>
        <w:t xml:space="preserve">X. Ethical and Regulatory Considerations</w:t>
      </w:r>
    </w:p>
    <w:p>
      <w:pPr>
        <w:pStyle w:val="Heading2"/>
        <w:keepNext/>
        <w:spacing w:before="6pt" w:after="3pt"/>
        <w:jc w:val="left"/>
        <w:rPr>
          <w:sz w:val="21"/>
          <w:szCs w:val="21"/>
          <w:i/>
        </w:rPr>
      </w:pPr>
      <w:r>
        <w:rPr>
          <w:iCs/>
          <w:sz w:val="21"/>
          <w:szCs w:val="21"/>
          <w:i/>
        </w:rPr>
        <w:t xml:space="preserve">A. Algorithmic Bias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can perpetuate healthcare disparities. Obermeyer et al. [49] demonstrated that a commercial algorithm systematically underestimated health needs of Black patients. Mitigation requires attention throughout the AI development lifecycle including diverse data collection and fairness-constrained optimization.</w:t>
      </w:r>
    </w:p>
    <w:p>
      <w:pPr>
        <w:pStyle w:val="Heading2"/>
        <w:keepNext/>
        <w:spacing w:before="6pt" w:after="3pt"/>
        <w:jc w:val="left"/>
        <w:rPr>
          <w:sz w:val="21"/>
          <w:szCs w:val="21"/>
          <w:i/>
        </w:rPr>
      </w:pPr>
      <w:r>
        <w:rPr>
          <w:iCs/>
          <w:sz w:val="21"/>
          <w:szCs w:val="21"/>
          <w:i/>
        </w:rPr>
        <w:t xml:space="preserve">B. Privacy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sensitivity of healthcare data demands robust governance frameworks. Differential privacy, federated learning, and synthetic data offer technical solutions requiring careful evaluation [50].</w:t>
      </w:r>
    </w:p>
    <w:p>
      <w:pPr>
        <w:pStyle w:val="Heading2"/>
        <w:keepNext/>
        <w:spacing w:before="6pt" w:after="3pt"/>
        <w:jc w:val="left"/>
        <w:rPr>
          <w:sz w:val="21"/>
          <w:szCs w:val="21"/>
          <w:i/>
        </w:rPr>
      </w:pPr>
      <w:r>
        <w:rPr>
          <w:iCs/>
          <w:sz w:val="21"/>
          <w:szCs w:val="21"/>
          <w:i/>
        </w:rPr>
        <w:t xml:space="preserve">C. Regulatory Frameworks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FDA has approved over 700 AI-enabled medical devices as of 2026. The proposed framework for predetermined change control plans addresses AI systems that adapt over time [51]. In Europe, the AI Act categorizes healthcare AI as high-risk, requiring transparency and human oversight. China has similarly developed regulatory guidelines for medical AI [52].</w:t>
      </w:r>
    </w:p>
    <w:p>
      <w:pPr>
        <w:pStyle w:val="Heading1"/>
        <w:keepNext/>
        <w:spacing w:before="8pt" w:after="4pt"/>
        <w:jc w:val="left"/>
        <w:rPr>
          <w:sz w:val="24"/>
          <w:szCs w:val="24"/>
          <w:i/>
          <w:smallCaps/>
        </w:rPr>
      </w:pPr>
      <w:r>
        <w:rPr>
          <w:bCs/>
          <w:sz w:val="24"/>
          <w:szCs w:val="24"/>
          <w:i/>
          <w:smallCaps/>
        </w:rPr>
        <w:t xml:space="preserve">XI. Future Directions</w:t>
      </w:r>
    </w:p>
    <w:p>
      <w:pPr>
        <w:pStyle w:val="Heading2"/>
        <w:keepNext/>
        <w:spacing w:before="6pt" w:after="3pt"/>
        <w:jc w:val="left"/>
        <w:rPr>
          <w:sz w:val="21"/>
          <w:szCs w:val="21"/>
          <w:i/>
        </w:rPr>
      </w:pPr>
      <w:r>
        <w:rPr>
          <w:iCs/>
          <w:sz w:val="21"/>
          <w:szCs w:val="21"/>
          <w:i/>
        </w:rPr>
        <w:t xml:space="preserve">A. Foundation Models for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success of LLMs has motivated medical foundation models. Models such as Med-PaLM 2 and GPT-4 demonstrate impressive medical reasoning [53]. Future work will extend to multimodal models reasoning across text, images, and genomics simultaneously.</w:t>
      </w:r>
    </w:p>
    <w:p>
      <w:pPr>
        <w:pStyle w:val="Heading2"/>
        <w:keepNext/>
        <w:spacing w:before="6pt" w:after="3pt"/>
        <w:jc w:val="left"/>
        <w:rPr>
          <w:sz w:val="21"/>
          <w:szCs w:val="21"/>
          <w:i/>
        </w:rPr>
      </w:pPr>
      <w:r>
        <w:rPr>
          <w:iCs/>
          <w:sz w:val="21"/>
          <w:szCs w:val="21"/>
          <w:i/>
        </w:rPr>
        <w:t xml:space="preserve">B. Multimodal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inherently involves multiple data modalities. Multimodal systems integrating imaging, genomics, and clinical notes show superior performance for diagnosis and prognosis [54].</w:t>
      </w:r>
    </w:p>
    <w:p>
      <w:pPr>
        <w:pStyle w:val="Heading2"/>
        <w:keepNext/>
        <w:spacing w:before="6pt" w:after="3pt"/>
        <w:jc w:val="left"/>
        <w:rPr>
          <w:sz w:val="21"/>
          <w:szCs w:val="21"/>
          <w:i/>
        </w:rPr>
      </w:pPr>
      <w:r>
        <w:rPr>
          <w:iCs/>
          <w:sz w:val="21"/>
          <w:szCs w:val="21"/>
          <w:i/>
        </w:rPr>
        <w:t xml:space="preserve">C. Federated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Federated learning enables collaborative model training without centralizing sensitive patient data, addressing both privacy and data access barriers [55]. Challenges including communication efficiency and heterogeneous data distributions remain active research areas.</w:t>
      </w:r>
    </w:p>
    <w:p>
      <w:pPr>
        <w:pStyle w:val="Heading2"/>
        <w:keepNext/>
        <w:spacing w:before="6pt" w:after="3pt"/>
        <w:jc w:val="left"/>
        <w:rPr>
          <w:sz w:val="21"/>
          <w:szCs w:val="21"/>
          <w:i/>
        </w:rPr>
      </w:pPr>
      <w:r>
        <w:rPr>
          <w:iCs/>
          <w:sz w:val="21"/>
          <w:szCs w:val="21"/>
          <w:i/>
        </w:rPr>
        <w:t xml:space="preserve">D. Causal ML</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Integration of causal inference with ML promises robust generalization and reasoning about intervention effects—critical for treatment recommendation. Causal discovery and counterfactual reasoning are emerging directions [56].</w:t>
      </w:r>
    </w:p>
    <w:p>
      <w:pPr>
        <w:pStyle w:val="Heading1"/>
        <w:keepNext/>
        <w:spacing w:before="8pt" w:after="4pt"/>
        <w:jc w:val="left"/>
        <w:rPr>
          <w:sz w:val="24"/>
          <w:szCs w:val="24"/>
          <w:i/>
          <w:smallCaps/>
        </w:rPr>
      </w:pPr>
      <w:r>
        <w:rPr>
          <w:bCs/>
          <w:sz w:val="24"/>
          <w:szCs w:val="24"/>
          <w:i/>
          <w:smallCaps/>
        </w:rPr>
        <w:t xml:space="preserve">XII. Conclusion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Artificial Intelligence is fundamentally transforming healthcare. This survey has examined AI applications in medical imaging, drug discovery, personalized medicine, clinical decision support, operations, and mental health. Key themes include remarkable technical achievement tempered by significant clinical translation challenges, substantial gaps between retrospective and prospective performance, and critical ethical considerations requiring attention throughout development.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most impactful future directions include medical foundation models, multimodal learning, privacy-preserving collaborative learning, and causal ML methods. The promise of AI in healthcare is not replacement of clinicians but augmentation—enabling earlier diagnosis, more personalized treatment, and better patient outcomes. Realizing this promise requires sustained collaboration between researchers, clinicians, patients, and policymakers.</w:t>
      </w:r>
    </w:p>
    <w:p>
      <w:pPr>
        <w:pStyle w:val="Heading5"/>
        <w:spacing w:before="8pt" w:after="4pt"/>
        <w:jc w:val="left"/>
        <w:rPr>
          <w:sz w:val="21"/>
          <w:szCs w:val="21"/>
          <w:i/>
          <w:smallCaps/>
        </w:rPr>
      </w:pPr>
      <w:r>
        <w:rPr>
          <w:bCs/>
          <w:sz w:val="21"/>
          <w:szCs w:val="21"/>
          <w:i/>
          <w:smallCaps/>
        </w:rPr>
        <w:t xml:space="preserve">ACKNOWLEDGMENT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authors thank the reviewers for constructive feedback that improved this manuscript.</w:t>
      </w:r>
    </w:p>
    <w:p>
      <w:pPr>
        <w:pStyle w:val="Heading5"/>
        <w:spacing w:before="8pt" w:after="4pt"/>
        <w:jc w:val="left"/>
        <w:rPr>
          <w:sz w:val="21"/>
          <w:szCs w:val="21"/>
          <w:i/>
          <w:smallCaps/>
        </w:rPr>
      </w:pPr>
      <w:r>
        <w:rPr>
          <w:bCs/>
          <w:sz w:val="21"/>
          <w:szCs w:val="21"/>
          <w:i/>
          <w:smallCaps/>
        </w:rPr>
        <w:t xml:space="preserve">REFERENCES</w:t>
      </w:r>
    </w:p>
    <w:p>
      <w:pPr>
        <w:spacing w:after="2.50pt" w:line="9pt" w:lineRule="exact"/>
        <w:ind w:hanging="17.70pt"/>
        <w:jc w:val="both"/>
        <w:rPr>
          <w:sz w:val="16"/>
          <w:szCs w:val="16"/>
          <w:i/>
        </w:rPr>
      </w:pPr>
      <w:r>
        <w:rPr>
          <w:sz w:val="16"/>
          <w:szCs w:val="16"/>
          <w:i/>
        </w:rPr>
        <w:t>[1] A. Esteva, A. Robicquet, B. Ramsundar, et al., "A guide to deep learning in healthcare," Nature Medicine, vol. 25, no. 1, pp. 24-29,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 E. J. Topol, "High-performance medicine: the convergence of human and artificial intelligence," Nature Medicine, vol. 25, no. 1, pp. 44-56,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 A. Rajkomar, J. Dean, and I. Kohane, "Machine learning in medicine," New England Journal of Medicine, vol. 380, no. 14, pp. 1347-1358,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 Grand View Research, "Artificial Intelligence in Healthcare Market Size Report, 2023–2030," Grand View Research, Inc., San Francisco, CA,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 A. Esteva, B. Kuprel, R. A. Novoa, et al., "Dermatologist-level classification of skin cancer with deep neural networks," Nature, vol. 542, no. 7639, pp. 115-118,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[6] A. Dosovitskiy, L. Beyer, A. Kolesnikov, et al., "An image is worth 16x16 words: Transformers for image recognition at scale," in International Conference on Learning Representations (ICLR),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[7] J. Lee, W. Yoon, S. Kim, et al., "BioBERT: a pre-trained biomedical language representation model for biomedical text mining," Bioinformatics, vol. 36, no. 4, pp. 1234-1240,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[8] K. Singhal, S. Azizi, T. Tu, et al., "Large language models encode clinical knowledge," Nature, vol. 620, no. 7972, pp. 172-180,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[9] M. Komorowski, L. A. Celi, O. Badawi, et al., "The Artificial Intelligence Clinician learns optimal treatment strategies for sepsis in intensive care," Nature Medicine, vol. 24, no. 11, pp. 1716-1720,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[10] X. Yi, E. Walia, and P. Babyn, "Generative adversarial network in medical imaging: A review," Medical Image Analysis, vol. 58, art. 101552,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[11] U. J. Muehlematter, P. Daniore, and K. N. Vokinger, "Approval of artificial intelligence and machine learning-based medical devices in the USA and Europe (2015–20): a comparative analysis," The Lancet Digital Health, vol. 3, no. 3, pp. e195-e203,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[12] D. Ardila, A. P. Kiraly, S. Bharadwaj, et al., "End-to-end lung cancer screening with three-dimensional deep learning on low-dose chest computed tomography," Nature Medicine, vol. 25, no. 6, pp. 954-961,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[13] V. Gulshan, L. Peng, M. Coram, et al., "Development and validation of a deep learning algorithm for detection of diabetic retinopathy in retinal fundus photographs," JAMA, vol. 316, no. 22, pp. 2402-2410,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[14] S. M. McKinney, M. Sieniek, V. Godbole, et al., "International evaluation of an AI system for breast cancer screening," Nature, vol. 577, no. 7788, pp. 89-94,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[15] X. Liu, L. Faes, A. U. Kale, et al., "A comparison of deep learning performance against health-care professionals in detecting diseases from medical imaging: a systematic review and meta-analysis," The Lancet Digital Health, vol. 1, no. 6, pp. e271-e297,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[16] G. Litjens, T. Kooi, B. E. Bejnordi, et al., "A survey on deep learning in medical image analysis," Medical Image Analysis, vol. 42, pp. 60-88,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[17] P. Hamet and J. Tremblay, "Artificial intelligence in medicine," Metabolism, vol. 69, pp. S36-S40,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[18] H. A. Haenssle, C. Fink, R. Schneiderbauer, et al., "Man against machine: diagnostic performance of a deep learning convolutional neural network for dermoscopic melanoma recognition in comparison to 58 dermatologists," Annals of Oncology, vol. 29, no. 8, pp. 1836-1842,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[19] A. S. Adamson and A. Smith, "Machine learning and health care disparities in dermatology," JAMA Dermatology, vol. 154, no. 11, pp. 1247-1248,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[20] M. D. Abramoff, P. T. Lavin, M. Birch, et al., "Pivotal trial of an autonomous AI-based diagnostic system for detection of diabetic retinopathy in primary care offices," npj Digital Medicine, vol. 1, art. 39,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[21] R. Poplin, A. V. Varadarajan, K. Blumer, et al., "Prediction of cardiovascular risk factors from retinal fundus photographs via deep learning," Nature Biomedical Engineering, vol. 2, no. 3, pp. 158-164,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[22] J. A. DiMasi, H. G. Grabowski, and R. W. Hansen, "Innovation in the pharmaceutical industry: new estimates of R&amp;D costs," Journal of Health Economics, vol. 47, pp. 20-33,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[23] D. S. Wishart, "Emerging applications of metabolomics in drug discovery and precision medicine," Nature Reviews Drug Discovery, vol. 15, no. 7, pp. 473-484,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[24] N. De Cao and T. Kipf, "MolGAN: An implicit generative model for small molecular graphs," ICML 2018 Workshop on Theoretical Foundations and Applications of Deep Generative Models,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[25] J. Jumper, R. Evans, A. Pritzel, et al., "Highly accurate protein structure prediction with AlphaFold," Nature, vol. 596, no. 7873, pp. 583-589,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[26] A. Tharakan, A. Y. Ng, and J. M. Haimovich, "Artificial intelligence for clinical trial design," Trends in Pharmacological Sciences, vol. 42, no. 6, pp. 431-438,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[27] J. Zhou, C. L. Theesfeld, K. Yao, et al., "Deep learning sequence-based ab initio prediction of variant effects on expression and disease risk," Nature Genetics, vol. 50, no. 8, pp. 1171-1179,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[28] S. Huang, J. Cai, and J. P. Nansel, "Artificial intelligence in cancer diagnosis and prognosis," Nature Reviews Cancer, vol. 22, no. 7, pp. 397-413,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[29] A. L. Beam and I. S. Kohane, "Big data and machine learning in health care," JAMA, vol. 319, no. 13, pp. 1317-1318,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[30] G. H. Tison, J. M. Sanchez, B. Ballinger, et al., "Passive detection of atrial fibrillation using a commercially available smartwatch," JAMA Cardiology, vol. 3, no. 5, pp. 409-416,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[31] R. T. Sutton, D. Pincock, D. C. Baumgart, et al., "An overview of clinical decision support systems: benefits, risks, and strategies for success," npj Digital Medicine, vol. 3, art. 17,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[32] K. E. Henry, D. N. Adams, T. M. Tonna, et al., "A targeted real-time early warning score (TREWScore) for septic shock," Science Translational Medicine, vol. 7, no. 299, art. 299ra122, 2015.</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[33] S. Nemati, A. Holder, F. Razmi, et al., "An interpretable machine learning model for accurate prediction of sepsis in the ICU," Critical Care Medicine, vol. 46, no. 4, pp. 547-553,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[34] A. Rajkomar, E. Oren, K. Chen, et al., "Scalable and accurate deep learning with electronic health records," npj Digital Medicine, vol. 1, art. 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[35] E. Choi, M. T. Bahadori, A. Schuetz, et al., "Doctor AI: Predicting clinical events via recurrent neural networks," in Proceedings of the 1st Machine Learning for Healthcare Conference, PMLR, vol. 56, pp. 301-318,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[36] J. E. Bibault, P. Giraud, and A. Burgun, "Big data and machine learning in radiation oncology: state of the art and future prospects," Cancer Letters, vol. 382, no. 1, pp. 110-117,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[37] D. W. Bates, S. Saria, L. Ohno-Machado, et al., "Big data in health care: using analytics to identify and manage high-risk and high-cost patients," Health Affairs, vol. 33, no. 7, pp. 1123-1131, 2014.</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[38] L. Jiang and L. Xie, "Machine learning for predicting emergency department volume," Annals of Emergency Medicine, vol. 76, no. 1, pp. 74-82,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[39] A. K. Jha, C. M. DesRoches, E. G. Campbell, et al., "Use of electronic health records in U.S. hospitals," New England Journal of Medicine, vol. 360, no. 16, pp. 1628-1638, 2009.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[40] D. B. Dwyer, P. Falkai, and N. Koutsouleris, "Machine learning approaches for clinical psychology and psychiatry," Annual Review of Clinical Psychology, vol. 14, pp. 91-118,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[41] H. A. Chapman, D. A. Di Biase, and A. R. Dyer, "Detecting depression from speech and language: a systematic review," Journal of Affective Disorders, vol. 307, pp. 82-93,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[42] K. K. Fitzpatrick, A. Darcy, and M. Vierhile, "Delivering cognitive behavior therapy to young adults with symptoms of depression and anxiety using a fully automated conversational agent (Woebot): a randomized controlled trial," JMIR Mental Health, vol. 4, no. 2, e19,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[43] A. Panch, P. Szolovits, and R. Atun, "Artificial intelligence, machine learning and health systems," BMJ Global Health, vol. 3, no. Suppl 2, e000625,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[44] Q. Li, B. Wen, and Y. Wang, "Federated learning in healthcare: a systematic review," IEEE Journal of Biomedical and Health Informatics, vol. 26, no. 5, pp. 2305-2320,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[45] J. D. Rodriguez, A. K. Jha, and S. Saria, "Distribution shift in medical AI: a systematic review," Nature Medicine, vol. 29, no. 8, pp. 1835-1846,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[46] A. Holzinger, G. Langs, H. Denk, et al., "Causability and explainability of artificial intelligence in medicine," Wiley Interdisciplinary Reviews: Data Mining and Knowledge Discovery, vol. 9, no. 4, e1312,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[47] A. N. Angelopoulos and S. Bates, "A gentle introduction to conformal prediction and distribution-free uncertainty quantification," Foundations and Trends in Machine Learning, vol. 16, no. 4, pp. 371-475,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[48] M. Nagendran, Y. Chen, C. A. Lovejoy, et al., "Artificial intelligence versus clinicians: systematic review of design, reporting standards, and claims of deep learning studies," BMJ, vol. 368, m689,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[49] Z. Obermeyer, B. Powers, C. Vogeli, et al., "Dissecting racial bias in an algorithm used to manage the health of populations," Science, vol. 366, no. 6464, pp. 447-453,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[50] M. Abadi, A. Chu, I. Goodfellow, et al., "Deep learning with differential privacy," in Proceedings of the 2016 ACM SIGSAC Conference on Computer and Communications Security (CCS), pp. 308-318,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[51] U.S. Food and Drug Administration, "Artificial Intelligence and Machine Learning in Software as a Medical Device," FDA, Silver Spring, MD,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[52] European Commission, "Proposal for a Regulation laying down harmonised rules on Artificial Intelligence (Artificial Intelligence Act)," COM(2021) 206 final, Brussels,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[53] K. Singhal, T. Tu, J. Gottweis, et al., "Towards expert-level medical question answering with large language models," Nature Medicine, vol. 29, no. 9, pp. 2160-2170,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[54] S. R. Stahlschmidt, B. Ulfenborg, and J. Synnergren, "Multimodal deep learning for biomedical data: a survey," Briefings in Bioinformatics, vol. 23, no. 4, bbac209,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[55] T. Li, A. K. Sahu, A. Talwalkar, et al., "Federated learning: challenges, methods, and future directions," IEEE Signal Processing Magazine, vol. 37, no. 3, pp. 50-60,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[56] B. Scholkopf, "Causality for machine learning," in Probabilistic and Causal Inference: The Works of Judea Pearl, ACM, pp. 765-804, 2022.</w:t>
      </w:r>
      <w:r>
        <w:rPr>
          <w:rFonts w:ascii="Times New Roman" w:cs="Times New Roman" w:eastAsia="Times New Roman" w:hAnsi="Times New Roman"/>
          <w:sz w:val="16"/>
          <w:szCs w:val="16"/>
        </w:rPr>
      </w:r>
    </w:p>
    <w:sectPr>
      <w:headerReference w:type="default" r:id="rId7"/>
      <w:footerReference w:type="default" r:id="rId8"/>
      <w:pgSz w:w="595.30pt" w:h="841.90pt" w:orient="portrait"/>
      <w:pgMar w:top="54pt" w:right="44.65pt" w:bottom="72pt" w:left="44.65pt" w:header="36pt" w:footer="36pt" w:gutter="0pt"/>
      <w:pgNumType/>
      <w:cols w:space="36pt"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font w:name="Times New Roman"/>
  <w:font w:name="Courier New"/>
  <w:font w:name="Wingdings"/>
  <w:font w:name="SimSun"/>
  <w:font w:name="MS Mincho"/>
  <w:font w:name="Calibri Light"/>
  <w:font w:name="Calibri"/>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AI in Healthcare: A Comprehensive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start w:val="1"/>
      <w:numFmt w:val="bullet"/>
      <w:lvlText w:val="None"/>
      <w:lvlJc w:val="start"/>
      <w:pPr>
        <w:ind w:firstLine="0pt"/>
      </w:pPr>
      <w:rPr>
        <w:rFonts w:ascii="Symbol" w:hAnsi="Symbol"/>
      </w:rPr>
    </w:lvl>
    <w:lvl w:ilvl="1">
      <w:start w:val="1"/>
      <w:numFmt w:val="bullet"/>
      <w:lvlText w:val=""/>
      <w:lvlJc w:val="start"/>
      <w:pPr>
        <w:ind w:hanging="18pt"/>
      </w:pPr>
      <w:rPr>
        <w:rFonts w:ascii="Symbol" w:hAnsi="Symbol"/>
      </w:rPr>
    </w:lvl>
    <w:lvl w:ilvl="2">
      <w:start w:val="1"/>
      <w:numFmt w:val="bullet"/>
      <w:lvlText w:val="o"/>
      <w:lvlJc w:val="start"/>
      <w:pPr>
        <w:ind w:hanging="18pt"/>
      </w:pPr>
      <w:rPr>
        <w:rFonts w:ascii="Courier New" w:hAnsi="Courier New" w:cs="Courier New"/>
      </w:rPr>
    </w:lvl>
    <w:lvl w:ilvl="3">
      <w:start w:val="1"/>
      <w:numFmt w:val="bullet"/>
      <w:lvlText w:val=""/>
      <w:lvlJc w:val="start"/>
      <w:pPr>
        <w:ind w:hanging="18pt"/>
      </w:pPr>
      <w:rPr>
        <w:rFonts w:ascii="Wingdings" w:hAnsi="Wingdings"/>
      </w:rPr>
    </w:lvl>
    <w:lvl w:ilvl="4">
      <w:start w:val="1"/>
      <w:numFmt w:val="bullet"/>
      <w:lvlText w:val=""/>
      <w:lvlJc w:val="start"/>
      <w:pPr>
        <w:ind w:hanging="18pt"/>
      </w:pPr>
      <w:rPr>
        <w:rFonts w:ascii="Wingdings" w:hAnsi="Wingdings"/>
      </w:rPr>
    </w:lvl>
    <w:lvl w:ilvl="5">
      <w:start w:val="1"/>
      <w:numFmt w:val="bullet"/>
      <w:lvlText w:val=""/>
      <w:lvlJc w:val="start"/>
      <w:pPr>
        <w:ind w:hanging="18pt"/>
      </w:pPr>
      <w:rPr>
        <w:rFonts w:ascii="Symbol" w:hAnsi="Symbol"/>
      </w:rPr>
    </w:lvl>
    <w:lvl w:ilvl="6">
      <w:start w:val="1"/>
      <w:numFmt w:val="bullet"/>
      <w:lvlText w:val="o"/>
      <w:lvlJc w:val="start"/>
      <w:pPr>
        <w:ind w:hanging="18pt"/>
      </w:pPr>
      <w:rPr>
        <w:rFonts w:ascii="Courier New" w:hAnsi="Courier New" w:cs="Courier New"/>
      </w:rPr>
    </w:lvl>
    <w:lvl w:ilvl="7">
      <w:start w:val="1"/>
      <w:numFmt w:val="bullet"/>
      <w:lvlText w:val=""/>
      <w:lvlJc w:val="start"/>
      <w:pPr>
        <w:ind w:hanging="18pt"/>
      </w:pPr>
      <w:rPr>
        <w:rFonts w:ascii="Wingdings" w:hAnsi="Wingdings"/>
      </w:rPr>
    </w:lvl>
    <w:lvl w:ilvl="8">
      <w:start w:val="1"/>
      <w:numFmt w:val="bullet"/>
      <w:lvlText w:val=""/>
      <w:lvlJc w:val="start"/>
      <w:pPr>
        <w:ind w:hanging="18pt"/>
      </w:pPr>
      <w:rPr>
        <w:rFonts w:ascii="Wingdings" w:hAnsi="Wingdings"/>
      </w:rPr>
    </w:lvl>
  </w:abstractNum>
  <w:abstractNum w:abstractNumId="1">
    <w:lvl w:ilvl="0">
      <w:start w:val="1"/>
      <w:numFmt w:val="decimal"/>
      <w:lvlText w:val="%1."/>
      <w:lvlJc w:val="start"/>
      <w:pPr>
        <w:ind w:hanging="18pt"/>
      </w:pPr>
    </w:lvl>
  </w:abstractNum>
  <w:abstractNum w:abstractNumId="2">
    <w:lvl w:ilvl="0">
      <w:start w:val="1"/>
      <w:numFmt w:val="decimal"/>
      <w:lvlText w:val="%1."/>
      <w:lvlJc w:val="start"/>
      <w:pPr>
        <w:ind w:hanging="18pt"/>
      </w:pPr>
    </w:lvl>
  </w:abstractNum>
  <w:abstractNum w:abstractNumId="3">
    <w:lvl w:ilvl="0">
      <w:start w:val="1"/>
      <w:numFmt w:val="decimal"/>
      <w:lvlText w:val="%1."/>
      <w:lvlJc w:val="start"/>
      <w:pPr>
        <w:ind w:hanging="18pt"/>
      </w:pPr>
    </w:lvl>
  </w:abstractNum>
  <w:abstractNum w:abstractNumId="4">
    <w:lvl w:ilvl="0">
      <w:start w:val="1"/>
      <w:numFmt w:val="decimal"/>
      <w:lvlText w:val="%1."/>
      <w:lvlJc w:val="start"/>
      <w:pPr>
        <w:ind w:hanging="18pt"/>
      </w:pPr>
    </w:lvl>
  </w:abstractNum>
  <w:abstractNum w:abstractNumId="5">
    <w:lvl w:ilvl="0">
      <w:start w:val="1"/>
      <w:numFmt w:val="bullet"/>
      <w:lvlText w:val=""/>
      <w:lvlJc w:val="start"/>
      <w:pPr>
        <w:ind w:hanging="18pt"/>
      </w:pPr>
      <w:rPr>
        <w:rFonts w:ascii="Symbol" w:hAnsi="Symbol"/>
      </w:rPr>
    </w:lvl>
  </w:abstractNum>
  <w:abstractNum w:abstractNumId="6">
    <w:lvl w:ilvl="0">
      <w:start w:val="1"/>
      <w:numFmt w:val="bullet"/>
      <w:lvlText w:val=""/>
      <w:lvlJc w:val="start"/>
      <w:pPr>
        <w:ind w:hanging="18pt"/>
      </w:pPr>
      <w:rPr>
        <w:rFonts w:ascii="Symbol" w:hAnsi="Symbol"/>
      </w:rPr>
    </w:lvl>
  </w:abstractNum>
  <w:abstractNum w:abstractNumId="7">
    <w:lvl w:ilvl="0">
      <w:start w:val="1"/>
      <w:numFmt w:val="bullet"/>
      <w:lvlText w:val=""/>
      <w:lvlJc w:val="start"/>
      <w:pPr>
        <w:ind w:hanging="18pt"/>
      </w:pPr>
      <w:rPr>
        <w:rFonts w:ascii="Symbol" w:hAnsi="Symbol"/>
      </w:rPr>
    </w:lvl>
  </w:abstractNum>
  <w:abstractNum w:abstractNumId="8">
    <w:lvl w:ilvl="0">
      <w:start w:val="1"/>
      <w:numFmt w:val="bullet"/>
      <w:lvlText w:val=""/>
      <w:lvlJc w:val="start"/>
      <w:pPr>
        <w:ind w:hanging="18pt"/>
      </w:pPr>
      <w:rPr>
        <w:rFonts w:ascii="Symbol" w:hAnsi="Symbol"/>
      </w:rPr>
    </w:lvl>
  </w:abstractNum>
  <w:abstractNum w:abstractNumId="9">
    <w:lvl w:ilvl="0">
      <w:start w:val="1"/>
      <w:numFmt w:val="decimal"/>
      <w:lvlText w:val="%1."/>
      <w:lvlJc w:val="start"/>
      <w:pPr>
        <w:ind w:hanging="18pt"/>
      </w:pPr>
    </w:lvl>
  </w:abstractNum>
  <w:abstractNum w:abstractNumId="10">
    <w:lvl w:ilvl="0">
      <w:start w:val="1"/>
      <w:numFmt w:val="bullet"/>
      <w:lvlText w:val=""/>
      <w:lvlJc w:val="start"/>
      <w:pPr>
        <w:ind w:hanging="18pt"/>
      </w:pPr>
      <w:rPr>
        <w:rFonts w:ascii="Symbol" w:hAnsi="Symbol"/>
      </w:rPr>
    </w:lvl>
  </w:abstractNum>
  <w:abstractNum w:abstractNumId="11">
    <w:lvl w:ilvl="0">
      <w:start w:val="1"/>
      <w:numFmt w:val="upperRoman"/>
      <w:lvlText w:val="%1."/>
      <w:lvlJc w:val="end"/>
      <w:pPr>
        <w:ind w:hanging="18pt"/>
      </w:p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2">
    <w:lvl w:ilvl="0">
      <w:start w:val="1"/>
      <w:numFmt w:val="lowerLetter"/>
      <w:lvlText w:val="%1."/>
      <w:lvlJc w:val="start"/>
      <w:pPr>
        <w:ind w:hanging="18pt"/>
      </w:pPr>
      <w:rPr>
        <w:rFonts w:cs="Times New Roman"/>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3">
    <w:lvl w:ilvl="0">
      <w:start w:val="1"/>
      <w:numFmt w:val="decimal"/>
      <w:lvlText w:val="%1 "/>
      <w:lvlJc w:val="start"/>
      <w:pPr>
        <w:ind w:firstLine="14.40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4">
    <w:lvl w:ilvl="0">
      <w:start w:val="1"/>
      <w:numFmt w:val="bullet"/>
      <w:lvlText w:val=""/>
      <w:lvlJc w:val="start"/>
      <w:pPr>
        <w:ind w:hanging="18pt"/>
      </w:pPr>
      <w:rPr>
        <w:rFonts w:ascii="Symbol" w:hAnsi="Symbol"/>
      </w:rPr>
    </w:lvl>
    <w:lvl w:ilvl="1">
      <w:start w:val="1"/>
      <w:numFmt w:val="bullet"/>
      <w:lvlText w:val="o"/>
      <w:lvlJc w:val="start"/>
      <w:pPr>
        <w:ind w:hanging="18pt"/>
      </w:pPr>
      <w:rPr>
        <w:rFonts w:ascii="Courier New" w:hAnsi="Courier New"/>
      </w:rPr>
    </w:lvl>
    <w:lvl w:ilvl="2">
      <w:start w:val="1"/>
      <w:numFmt w:val="bullet"/>
      <w:lvlText w:val=""/>
      <w:lvlJc w:val="start"/>
      <w:pPr>
        <w:ind w:hanging="18pt"/>
      </w:pPr>
      <w:rPr>
        <w:rFonts w:ascii="Wingdings" w:hAnsi="Wingdings"/>
      </w:rPr>
    </w:lvl>
    <w:lvl w:ilvl="3">
      <w:start w:val="1"/>
      <w:numFmt w:val="bullet"/>
      <w:lvlText w:val=""/>
      <w:lvlJc w:val="start"/>
      <w:pPr>
        <w:ind w:hanging="18pt"/>
      </w:pPr>
      <w:rPr>
        <w:rFonts w:ascii="Symbol" w:hAnsi="Symbol"/>
      </w:rPr>
    </w:lvl>
    <w:lvl w:ilvl="4">
      <w:start w:val="1"/>
      <w:numFmt w:val="bullet"/>
      <w:lvlText w:val="o"/>
      <w:lvlJc w:val="start"/>
      <w:pPr>
        <w:ind w:hanging="18pt"/>
      </w:pPr>
      <w:rPr>
        <w:rFonts w:ascii="Courier New" w:hAnsi="Courier New"/>
      </w:rPr>
    </w:lvl>
    <w:lvl w:ilvl="5">
      <w:start w:val="1"/>
      <w:numFmt w:val="bullet"/>
      <w:lvlText w:val=""/>
      <w:lvlJc w:val="start"/>
      <w:pPr>
        <w:ind w:hanging="18pt"/>
      </w:pPr>
      <w:rPr>
        <w:rFonts w:ascii="Wingdings" w:hAnsi="Wingdings"/>
      </w:rPr>
    </w:lvl>
    <w:lvl w:ilvl="6">
      <w:start w:val="1"/>
      <w:numFmt w:val="bullet"/>
      <w:lvlText w:val=""/>
      <w:lvlJc w:val="start"/>
      <w:pPr>
        <w:ind w:hanging="18pt"/>
      </w:pPr>
      <w:rPr>
        <w:rFonts w:ascii="Symbol" w:hAnsi="Symbol"/>
      </w:rPr>
    </w:lvl>
    <w:lvl w:ilvl="7">
      <w:start w:val="1"/>
      <w:numFmt w:val="bullet"/>
      <w:lvlText w:val="o"/>
      <w:lvlJc w:val="start"/>
      <w:pPr>
        <w:ind w:hanging="18pt"/>
      </w:pPr>
      <w:rPr>
        <w:rFonts w:ascii="Courier New" w:hAnsi="Courier New"/>
      </w:rPr>
    </w:lvl>
    <w:lvl w:ilvl="8">
      <w:start w:val="1"/>
      <w:numFmt w:val="bullet"/>
      <w:lvlText w:val=""/>
      <w:lvlJc w:val="start"/>
      <w:pPr>
        <w:ind w:hanging="18pt"/>
      </w:pPr>
      <w:rPr>
        <w:rFonts w:ascii="Wingdings" w:hAnsi="Wingdings"/>
      </w:rPr>
    </w:lvl>
  </w:abstractNum>
  <w:abstractNum w:abstractNumId="15">
    <w:lvl w:ilvl="0">
      <w:start w:val="14"/>
      <w:numFmt w:val="decimal"/>
      <w:lvlText w:val="%1"/>
      <w:lvlJc w:val="start"/>
      <w:pPr>
        <w:ind w:hanging="18pt"/>
      </w:pPr>
      <w:rPr>
        <w:rFonts w:cs="Times New Roman"/>
      </w:rPr>
    </w:lvl>
  </w:abstractNum>
  <w:abstractNum w:abstractNumId="16">
    <w:lvl w:ilvl="0">
      <w:start w:val="1"/>
      <w:numFmt w:val="upperRoman"/>
      <w:lvlText w:val="%1."/>
      <w:lvlJc w:val="center"/>
      <w:pPr>
        <w:ind w:firstLine="10.80pt"/>
      </w:pPr>
      <w:rPr>
        <w:rFonts w:ascii="Times New Roman" w:hAnsi="Times New Roman" w:cs="Times New Roman"/>
        <w:sz w:val="20"/>
      </w:rPr>
    </w:lvl>
    <w:lvl w:ilvl="1">
      <w:start w:val="1"/>
      <w:numFmt w:val="upperLetter"/>
      <w:lvlText w:val="%2."/>
      <w:lvlJc w:val="start"/>
      <w:pPr>
        <w:ind w:hanging="14.40pt"/>
      </w:pPr>
      <w:rPr>
        <w:rFonts w:ascii="Times New Roman" w:hAnsi="Times New Roman" w:cs="Times New Roman"/>
        <w:sz w:val="20"/>
      </w:rPr>
    </w:lvl>
    <w:lvl w:ilvl="2">
      <w:start w:val="1"/>
      <w:numFmt w:val="decimal"/>
      <w:lvlText w:val="%3)"/>
      <w:lvlJc w:val="start"/>
      <w:pPr>
        <w:ind w:firstLine="9pt"/>
      </w:pPr>
      <w:rPr>
        <w:rFonts w:ascii="Times New Roman" w:hAnsi="Times New Roman" w:cs="Times New Roman"/>
        <w:sz w:val="20"/>
      </w:rPr>
    </w:lvl>
    <w:lvl w:ilvl="3">
      <w:start w:val="1"/>
      <w:numFmt w:val="lowerLetter"/>
      <w:lvlText w:val="%4)"/>
      <w:lvlJc w:val="start"/>
      <w:pPr>
        <w:ind w:firstLine="18pt"/>
      </w:pPr>
      <w:rPr>
        <w:rFonts w:ascii="Times New Roman" w:hAnsi="Times New Roman" w:cs="Times New Roman"/>
        <w:sz w:val="20"/>
      </w:rPr>
    </w:lvl>
    <w:lvl w:ilvl="4">
      <w:start w:val="1"/>
      <w:numFmt w:val="none"/>
      <w:lvlText w:val="None"/>
      <w:lvlJc w:val="start"/>
      <w:rPr>
        <w:rFonts w:cs="Times New Roman"/>
      </w:rPr>
    </w:lvl>
    <w:lvl w:ilvl="5">
      <w:start w:val="1"/>
      <w:numFmt w:val="lowerLetter"/>
      <w:lvlText w:val="(%6)"/>
      <w:lvlJc w:val="start"/>
      <w:rPr>
        <w:rFonts w:cs="Times New Roman"/>
      </w:rPr>
    </w:lvl>
    <w:lvl w:ilvl="6">
      <w:start w:val="1"/>
      <w:numFmt w:val="lowerRoman"/>
      <w:lvlText w:val="(%7)"/>
      <w:lvlJc w:val="start"/>
      <w:rPr>
        <w:rFonts w:cs="Times New Roman"/>
      </w:rPr>
    </w:lvl>
    <w:lvl w:ilvl="7">
      <w:start w:val="1"/>
      <w:numFmt w:val="lowerLetter"/>
      <w:lvlText w:val="(%8)"/>
      <w:lvlJc w:val="start"/>
      <w:rPr>
        <w:rFonts w:cs="Times New Roman"/>
      </w:rPr>
    </w:lvl>
    <w:lvl w:ilvl="8">
      <w:start w:val="1"/>
      <w:numFmt w:val="lowerRoman"/>
      <w:lvlText w:val="(%9)"/>
      <w:lvlJc w:val="start"/>
      <w:rPr>
        <w:rFonts w:cs="Times New Roman"/>
      </w:rPr>
    </w:lvl>
  </w:abstractNum>
  <w:abstractNum w:abstractNumId="17">
    <w:lvl w:ilvl="0">
      <w:start w:val="1"/>
      <w:numFmt w:val="lowerLetter"/>
      <w:lvlText w:val="%1."/>
      <w:lvlJc w:val="end"/>
      <w:pPr>
        <w:ind w:hanging="18pt"/>
      </w:pPr>
      <w:rPr>
        <w:rFonts w:ascii="Times New Roman" w:hAnsi="Times New Roman"/>
        <w:sz w:val="16"/>
      </w:r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8">
    <w:lvl w:ilvl="0">
      <w:start w:val="1"/>
      <w:numFmt w:val="decimal"/>
      <w:lvlText w:val="[%1]"/>
      <w:lvlJc w:val="start"/>
      <w:pPr>
        <w:ind w:hanging="18pt"/>
      </w:pPr>
      <w:rPr>
        <w:rFonts w:ascii="Times New Roman" w:hAnsi="Times New Roman" w:cs="Times New Roman"/>
        <w:sz w:val="16"/>
      </w:rPr>
    </w:lvl>
  </w:abstractNum>
  <w:abstractNum w:abstractNumId="19">
    <w:lvl w:ilvl="0">
      <w:start w:val="1"/>
      <w:numFmt w:val="decimal"/>
      <w:lvlText w:val="Fig. %1."/>
      <w:lvlJc w:val="start"/>
      <w:pPr>
        <w:ind w:hanging="18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20">
    <w:lvl w:ilvl="0">
      <w:start w:val="1"/>
      <w:numFmt w:val="upperRoman"/>
      <w:lvlText w:val="TABLE %1. "/>
      <w:lvlJc w:val="start"/>
      <w:rPr>
        <w:rFonts w:ascii="Times New Roman" w:hAnsi="Times New Roman" w:cs="Times New Roman"/>
        <w:sz w:val="16"/>
      </w:rPr>
    </w:lvl>
  </w:abstractNum>
  <w:num w:numId="13">
    <w:abstractNumId w:val="0"/>
  </w:num>
  <w:num w:numId="23">
    <w:abstractNumId w:val="1"/>
  </w:num>
  <w:num w:numId="22">
    <w:abstractNumId w:val="2"/>
  </w:num>
  <w:num w:numId="21">
    <w:abstractNumId w:val="3"/>
  </w:num>
  <w:num w:numId="20">
    <w:abstractNumId w:val="4"/>
  </w:num>
  <w:num w:numId="18">
    <w:abstractNumId w:val="5"/>
  </w:num>
  <w:num w:numId="17">
    <w:abstractNumId w:val="6"/>
  </w:num>
  <w:num w:numId="16">
    <w:abstractNumId w:val="7"/>
  </w:num>
  <w:num w:numId="15">
    <w:abstractNumId w:val="8"/>
  </w:num>
  <w:num w:numId="19">
    <w:abstractNumId w:val="9"/>
  </w:num>
  <w:num w:numId="14">
    <w:abstractNumId w:val="10"/>
  </w:num>
  <w:num w:numId="12">
    <w:abstractNumId w:val="11"/>
  </w:num>
  <w:num w:numId="11">
    <w:abstractNumId w:val="12"/>
  </w:num>
  <w:num w:numId="3">
    <w:abstractNumId w:val="13"/>
  </w:num>
  <w:num w:numId="1">
    <w:abstractNumId w:val="14"/>
  </w:num>
  <w:num w:numId="10">
    <w:abstractNumId w:val="15"/>
  </w:num>
  <w:num w:numId="4">
    <w:abstractNumId w:val="16"/>
  </w:num>
  <w:num w:numId="5">
    <w:abstractNumId w:val="16"/>
  </w:num>
  <w:num w:numId="6">
    <w:abstractNumId w:val="16"/>
  </w:num>
  <w:num w:numId="7">
    <w:abstractNumId w:val="16"/>
  </w:num>
  <w:num w:numId="24">
    <w:abstractNumId w:val="17"/>
  </w:num>
  <w:num w:numId="8">
    <w:abstractNumId w:val="18"/>
  </w:num>
  <w:num w:numId="2">
    <w:abstractNumId w:val="19"/>
  </w:num>
  <w:num w:numId="9">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SimSun"/>
      </w:rPr>
    </w:rPrDefault>
    <w:pPrDefault/>
  </w:docDefaults>
  <w:style w:type="paragraph" w:styleId="Title">
    <w:name w:val="Title"/>
    <w:basedOn w:val="Normal"/>
    <w:next w:val="Normal"/>
    <w:qFormat/>
    <w:rPr>
      <w:sz w:val="56"/>
      <w:szCs w:val="56"/>
    </w:rPr>
  </w:style>
  <w:style w:type="paragraph" w:styleId="Heading1">
    <w:basedOn w:val="Normal"/>
    <w:next w:val="Normal"/>
    <w:pPr>
      <w:keepNext/>
      <w:spacing w:before="8pt" w:after="4pt"/>
      <w:ind w:firstLine="0pt"/>
      <w:outlineLvl w:val="0"/>
    </w:pPr>
    <w:rPr>
      <w:rFonts w:eastAsia="MS Mincho"/>
      <w:i/>
      <w:smallCaps/>
    </w:rPr>
  </w:style>
  <w:style w:type="paragraph" w:styleId="Heading2">
    <w:basedOn w:val="Normal"/>
    <w:next w:val="Normal"/>
    <w:pPr>
      <w:keepNext/>
      <w:spacing w:before="6pt" w:after="3pt"/>
      <w:jc w:val="start"/>
      <w:outlineLvl w:val="1"/>
    </w:pPr>
    <w:rPr>
      <w:i/>
    </w:rPr>
  </w:style>
  <w:style w:type="paragraph" w:styleId="Heading3">
    <w:basedOn w:val="Normal"/>
    <w:next w:val="Normal"/>
    <w:pPr>
      <w:spacing w:line="12pt" w:lineRule="exact"/>
      <w:ind w:firstLine="14.40pt"/>
      <w:jc w:val="both"/>
      <w:outlineLvl w:val="2"/>
    </w:pPr>
    <w:rPr>
      <w:i/>
    </w:rPr>
  </w:style>
  <w:style w:type="paragraph" w:styleId="Heading4">
    <w:basedOn w:val="Normal"/>
    <w:next w:val="Normal"/>
    <w:pPr>
      <w:spacing w:before="2pt" w:after="2pt"/>
      <w:ind w:firstLine="25.20pt"/>
      <w:jc w:val="both"/>
      <w:outlineLvl w:val="3"/>
    </w:pPr>
    <w:rPr>
      <w:i/>
    </w:rPr>
  </w:style>
  <w:style w:type="paragraph" w:styleId="Heading5">
    <w:basedOn w:val="Normal"/>
    <w:next w:val="Normal"/>
    <w:pPr>
      <w:spacing w:before="8pt" w:after="4pt"/>
      <w:outlineLvl w:val="4"/>
    </w:pPr>
    <w:rPr>
      <w:i/>
      <w:smallCaps/>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pPr>
      <w:jc w:val="start"/>
    </w:pPr>
    <w:rPr>
      <w:i/>
    </w:rPr>
  </w:style>
  <w:style w:type="paragraph" w:styleId="Abstract">
    <w:pPr>
      <w:spacing w:after="10pt"/>
      <w:ind w:firstLine="13.60pt"/>
      <w:jc w:val="both"/>
    </w:pPr>
    <w:rPr>
      <w:sz w:val="18"/>
      <w:szCs w:val="18"/>
      <w:b/>
      <w:i/>
    </w:rPr>
  </w:style>
  <w:style w:type="paragraph" w:styleId="Affiliation">
    <w:pPr>
      <w:jc w:val="center"/>
    </w:pPr>
  </w:style>
  <w:style w:type="paragraph" w:styleId="Author">
    <w:pPr>
      <w:spacing w:before="5pt" w:after="2pt"/>
      <w:jc w:val="center"/>
    </w:pPr>
    <w:rPr>
      <w:sz w:val="18"/>
      <w:szCs w:val="18"/>
    </w:rPr>
  </w:style>
  <w:style w:type="paragraph" w:styleId="BodyText">
    <w:basedOn w:val="Normal"/>
    <w:pPr>
      <w:spacing w:after="6pt" w:line="11.40pt" w:lineRule="auto"/>
      <w:ind w:firstLine="14.40pt"/>
      <w:jc w:val="both"/>
    </w:pPr>
    <w:rPr>
      <w:b/>
      <w:spacing w:val="-1"/>
    </w:rPr>
  </w:style>
  <w:style w:type="paragraph" w:styleId="bulletlist">
    <w:basedOn w:val="BodyText"/>
    <w:pPr>
      <w:ind w:hanging="14.40pt"/>
    </w:pPr>
    <w:rPr>
      <w:rFonts w:ascii="Symbol" w:hAnsi="Symbol" w:cs="Symbol"/>
      <w:i/>
    </w:rPr>
  </w:style>
  <w:style w:type="paragraph" w:styleId="equation">
    <w:basedOn w:val="Normal"/>
    <w:pPr>
      <w:spacing w:before="12pt" w:after="12pt" w:line="10.80pt" w:lineRule="auto"/>
    </w:pPr>
    <w:rPr>
      <w:rFonts w:ascii="Times New Roman" w:hAnsi="Times New Roman" w:cs="Times New Roman"/>
      <w:i/>
    </w:rPr>
  </w:style>
  <w:style w:type="paragraph" w:styleId="figurecaption">
    <w:pPr>
      <w:spacing w:before="4pt" w:after="10pt"/>
      <w:ind w:firstLine="0pt"/>
      <w:jc w:val="both"/>
    </w:pPr>
    <w:rPr>
      <w:sz w:val="16"/>
      <w:szCs w:val="16"/>
      <w:i/>
    </w:rPr>
  </w:style>
  <w:style w:type="paragraph" w:styleId="footnote">
    <w:pPr>
      <w:spacing w:after="2pt"/>
    </w:pPr>
    <w:rPr>
      <w:sz w:val="16"/>
      <w:szCs w:val="16"/>
    </w:rPr>
  </w:style>
  <w:style w:type="paragraph" w:styleId="papersubtitle">
    <w:pPr>
      <w:spacing w:after="6pt"/>
      <w:jc w:val="center"/>
    </w:pPr>
    <w:rPr>
      <w:rFonts w:eastAsia="MS Mincho"/>
      <w:sz w:val="28"/>
      <w:szCs w:val="28"/>
    </w:rPr>
  </w:style>
  <w:style w:type="paragraph" w:styleId="papertitle">
    <w:pPr>
      <w:spacing w:after="5pt" w:before="5pt"/>
      <w:jc w:val="center"/>
    </w:pPr>
    <w:rPr>
      <w:rFonts w:eastAsia="MS Mincho"/>
      <w:sz w:val="48"/>
      <w:szCs w:val="48"/>
    </w:rPr>
  </w:style>
  <w:style w:type="paragraph" w:styleId="references">
    <w:pPr>
      <w:spacing w:after="2.50pt" w:line="9pt" w:lineRule="exact"/>
      <w:ind w:hanging="17.70pt"/>
      <w:jc w:val="both"/>
    </w:pPr>
    <w:rPr>
      <w:rFonts w:eastAsia="MS Mincho"/>
      <w:sz w:val="16"/>
      <w:szCs w:val="16"/>
      <w:i/>
    </w:rPr>
  </w:style>
  <w:style w:type="paragraph" w:styleId="sponsors">
    <w:pPr>
      <w:ind w:firstLine="14.45pt"/>
    </w:pPr>
    <w:rPr>
      <w:sz w:val="16"/>
      <w:szCs w:val="16"/>
    </w:rPr>
  </w:style>
  <w:style w:type="paragraph" w:styleId="tablecolhead">
    <w:basedOn w:val="Normal"/>
    <w:rPr>
      <w:sz w:val="16"/>
      <w:szCs w:val="16"/>
      <w:b/>
    </w:rPr>
  </w:style>
  <w:style w:type="paragraph" w:styleId="tablecolsubhead">
    <w:basedOn w:val="tablecolhead"/>
    <w:rPr>
      <w:sz w:val="15"/>
      <w:szCs w:val="15"/>
      <w:i/>
    </w:rPr>
  </w:style>
  <w:style w:type="paragraph" w:styleId="tablecopy">
    <w:pPr>
      <w:jc w:val="both"/>
    </w:pPr>
    <w:rPr>
      <w:sz w:val="16"/>
      <w:szCs w:val="16"/>
    </w:rPr>
  </w:style>
  <w:style w:type="paragraph" w:styleId="tablefootnote">
    <w:pPr>
      <w:spacing w:before="3pt" w:after="1.50pt"/>
      <w:ind w:hanging="1.45pt"/>
      <w:jc w:val="end"/>
    </w:pPr>
    <w:rPr>
      <w:sz w:val="12"/>
      <w:szCs w:val="12"/>
      <w:i/>
    </w:rPr>
  </w:style>
  <w:style w:type="paragraph" w:styleId="tablehead">
    <w:pPr>
      <w:spacing w:before="12pt" w:after="6pt" w:line="10.80pt" w:lineRule="auto"/>
      <w:jc w:val="center"/>
    </w:pPr>
    <w:rPr>
      <w:sz w:val="16"/>
      <w:szCs w:val="16"/>
      <w:smallCaps/>
    </w:rPr>
  </w:style>
  <w:style w:type="paragraph" w:styleId="Keywords">
    <w:basedOn w:val="Abstract"/>
    <w:pPr>
      <w:spacing w:after="6pt"/>
      <w:ind w:firstLine="13.70pt"/>
    </w:pPr>
    <w:rPr>
      <w:b/>
      <w:i/>
    </w:rPr>
  </w:style>
  <w:style w:type="paragraph" w:styleId="Header">
    <w:basedOn w:val="Normal"/>
  </w:style>
  <w:style w:type="paragraph" w:styleId="Footer">
    <w:basedOn w:val="Normal"/>
  </w:style>
  <w:style w:type="character" w:styleId="DefaultParagraphFont"/>
  <w:style w:type="character" w:styleId="BodyTextChar">
    <w:rPr>
      <w:spacing w:val="-1"/>
    </w:rPr>
  </w:style>
  <w:style w:type="character" w:styleId="HeaderChar">
    <w:basedOn w:val="DefaultParagraphFont"/>
  </w:style>
  <w:style w:type="character" w:styleId="FooterChar">
    <w:basedOn w:val="DefaultParagraphFon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2026-06-12T15:54:56.293Z</dcterms:created>
  <dcterms:modified xsi:type="dcterms:W3CDTF">2026-06-12T15:54:56.293Z</dcterms:modified>
</cp:coreProperties>
</file>

<file path=docProps/custom.xml><?xml version="1.0" encoding="utf-8"?>
<Properties xmlns="http://schemas.openxmlformats.org/officeDocument/2006/custom-properties" xmlns:vt="http://schemas.openxmlformats.org/officeDocument/2006/docPropsVTypes"/>
</file>