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spacing w:line="360" w:lineRule="auto"/>
        <w:jc w:val="center"/>
        <w:rPr>
          <w:rFonts w:ascii="黑体;SimHei" w:hAnsi="黑体;SimHei" w:cs="黑体;SimHei" w:eastAsia="黑体;SimHei"/>
          <w:sz w:val="40"/>
          <w:szCs w:val="40"/>
          <w:b/>
        </w:rPr>
      </w:pPr>
      <w:r>
        <w:rPr>
          <w:rFonts w:ascii="黑体;SimHei" w:hAnsi="黑体;SimHei" w:cs="黑体;SimHei" w:eastAsia="黑体;SimHei"/>
          <w:sz w:val="40"/>
          <w:szCs w:val="40"/>
          <w:b/>
        </w:rPr>
        <w:t>道路交通场景双级样条网络三维目标检测</w:t>
      </w:r>
    </w:p>
    <w:p w14:paraId="55B33BCF">
      <w:pPr>
        <w:jc w:val="center"/>
        <w:rPr>
          <w:rFonts w:ascii="楷体_GB2312;楷体" w:hAnsi="楷体_GB2312;楷体" w:cs="楷体_GB2312;楷体" w:eastAsia="楷体_GB2312;楷体"/>
          <w:sz w:val="28"/>
          <w:szCs w:val="28"/>
        </w:rPr>
      </w:pPr>
      <w:r>
        <w:rPr>
          <w:rFonts w:ascii="楷体_GB2312;楷体" w:hAnsi="楷体_GB2312;楷体" w:cs="楷体_GB2312;楷体" w:eastAsia="楷体_GB2312;楷体"/>
          <w:sz w:val="28"/>
          <w:szCs w:val="28"/>
        </w:rPr>
        <w:t>作者姓名1，作者姓名2，作者姓名3</w:t>
      </w:r>
    </w:p>
    <w:p w14:paraId="1DF21543">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（1. 单位全称，城市 邮编；2. 单位全称，城市 邮编）</w:t>
      </w:r>
    </w:p>
    <w:p w14:paraId="486A59DA">
      <w:pPr>
        <w:ind w:left="425" w:right="425"/>
        <w:jc w:val="both"/>
        <w:rPr>
          <w:rFonts w:ascii="Times New Roman" w:hAnsi="Times New Roman" w:cs="Times New Roman" w:eastAsia="楷体_GB2312;楷体"/>
          <w:sz w:val="21"/>
          <w:szCs w:val="21"/>
        </w:rPr>
      </w:pPr>
      <w:r>
        <w:rPr>
          <w:rFonts w:ascii="黑体;SimHei" w:hAnsi="黑体;SimHei" w:cs="黑体;SimHei" w:eastAsia="黑体;SimHei"/>
          <w:sz w:val="21"/>
          <w:szCs w:val="21"/>
        </w:rPr>
        <w:t>摘 要：</w:t>
      </w:r>
      <w:r>
        <w:rPr>
          <w:rFonts w:ascii="Times New Roman" w:hAnsi="Times New Roman" w:cs="Times New Roman" w:eastAsia="楷体_GB2312;楷体"/>
          <w:sz w:val="21"/>
          <w:szCs w:val="21"/>
        </w:rPr>
        <w:t>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ind w:left="425" w:right="425"/>
        <w:jc w:val="both"/>
        <w:rPr>
          <w:rFonts w:ascii="Times New Roman" w:hAnsi="Times New Roman" w:cs="Times New Roman" w:eastAsia="楷体_GB2312;楷体"/>
          <w:sz w:val="21"/>
          <w:szCs w:val="21"/>
        </w:rPr>
      </w:pPr>
      <w:r>
        <w:rPr>
          <w:rFonts w:ascii="黑体;SimHei" w:hAnsi="黑体;SimHei" w:cs="黑体;SimHei" w:eastAsia="黑体;SimHei"/>
          <w:sz w:val="21"/>
          <w:szCs w:val="21"/>
        </w:rPr>
        <w:t>关键词：</w:t>
      </w:r>
      <w:r>
        <w:rPr>
          <w:rFonts w:ascii="Times New Roman" w:hAnsi="Times New Roman" w:cs="Times New Roman" w:eastAsia="楷体_GB2312;楷体"/>
          <w:sz w:val="21"/>
          <w:szCs w:val="21"/>
        </w:rPr>
        <w:t>智能交通；三维目标检测；激光雷达点云；Kolmogorov-Arnold 网络；B 样条函数；交通目标感知</w:t>
      </w:r>
    </w:p>
    <w:p w14:paraId="1C5ADEE6">
      <w:pPr>
        <w:jc w:val="both"/>
        <w:rPr>
          <w:rFonts w:ascii="黑体;SimHei" w:hAnsi="黑体;SimHei" w:cs="黑体;SimHei" w:eastAsia="黑体;SimHei"/>
          <w:sz w:val="21"/>
          <w:szCs w:val="21"/>
        </w:rPr>
      </w:pPr>
      <w:r>
        <w:rPr>
          <w:rFonts w:ascii="黑体;SimHei" w:hAnsi="黑体;SimHei" w:cs="黑体;SimHei" w:eastAsia="黑体;SimHei"/>
          <w:sz w:val="21"/>
          <w:szCs w:val="21"/>
        </w:rPr>
        <w:t>中图分类号：U491；TP391.4</w:t>
      </w:r>
    </w:p>
    <w:p w14:paraId="08CD621A">
      <w:pPr>
        <w:jc w:val="center"/>
        <w:rPr>
          <w:rFonts w:ascii="Times New Roman" w:hAnsi="Times New Roman" w:cs="Times New Roman"/>
          <w:sz w:val="32"/>
          <w:szCs w:val="32"/>
          <w:b/>
        </w:rPr>
      </w:pPr>
      <w:r>
        <w:rPr>
          <w:rFonts w:ascii="Times New Roman" w:hAnsi="Times New Roman" w:cs="Times New Roman"/>
          <w:sz w:val="32"/>
          <w:szCs w:val="32"/>
          <w:b/>
        </w:rPr>
        <w:t>Dual-Level Spline Network for 3D Object Detection in Road Traffic Scenes</w:t>
      </w:r>
    </w:p>
    <w:p w14:paraId="4829B750">
      <w:pPr>
        <w:jc w:val="center"/>
        <w:rPr>
          <w:rFonts w:ascii="Times New Roman" w:hAnsi="Times New Roman" w:cs="Times New Roman"/>
          <w:sz w:val="28"/>
          <w:szCs w:val="28"/>
          <w:i/>
        </w:rPr>
      </w:pPr>
      <w:r>
        <w:rPr>
          <w:rFonts w:ascii="Times New Roman" w:hAnsi="Times New Roman" w:cs="Times New Roman"/>
          <w:sz w:val="28"/>
          <w:szCs w:val="28"/>
          <w:i/>
        </w:rPr>
        <w:t>AUTHOR Name1, AUTHOR Name2, AUTHOR Name3</w:t>
      </w:r>
    </w:p>
    <w:p w14:paraId="05CC8D3B">
      <w:pPr>
        <w:jc w:val="center"/>
        <w:rPr>
          <w:rFonts w:ascii="Times New Roman" w:hAnsi="Times New Roman" w:cs="Times New Roman"/>
          <w:sz w:val="18"/>
          <w:szCs w:val="18"/>
        </w:rPr>
      </w:pPr>
      <w:r>
        <w:rPr>
          <w:rFonts w:ascii="Times New Roman" w:hAnsi="Times New Roman" w:cs="Times New Roman"/>
          <w:sz w:val="18"/>
          <w:szCs w:val="18"/>
        </w:rPr>
        <w:t>(1. Full affiliation, City Postcode, China; 2. Full affiliation, City Postcode, China)</w:t>
      </w:r>
    </w:p>
    <w:p w14:paraId="126C565B">
      <w:pPr>
        <w:jc w:val="both"/>
        <w:rPr>
          <w:rFonts w:ascii="Times New Roman" w:hAnsi="Times New Roman" w:cs="Times New Roman"/>
          <w:sz w:val="21"/>
          <w:szCs w:val="21"/>
        </w:rPr>
      </w:pPr>
      <w:r>
        <w:rPr>
          <w:rFonts w:ascii="Times New Roman" w:hAnsi="Times New Roman" w:cs="Times New Roman"/>
          <w:sz w:val="21"/>
          <w:szCs w:val="21"/>
          <w:b/>
        </w:rPr>
        <w:t>Abstract:</w:t>
      </w:r>
      <w:r>
        <w:rPr>
          <w:rFonts w:ascii="Times New Roman" w:hAnsi="Times New Roman" w:cs="Times New Roman"/>
          <w:sz w:val="21"/>
          <w:szCs w:val="21"/>
        </w:rPr>
        <w:t xml:space="preserve">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jc w:val="both"/>
        <w:rPr>
          <w:rFonts w:ascii="Times New Roman" w:hAnsi="Times New Roman" w:cs="Times New Roman"/>
          <w:sz w:val="21"/>
          <w:szCs w:val="21"/>
        </w:rPr>
      </w:pPr>
      <w:r>
        <w:rPr>
          <w:rFonts w:ascii="Times New Roman" w:hAnsi="Times New Roman" w:cs="Times New Roman"/>
          <w:sz w:val="21"/>
          <w:szCs w:val="21"/>
          <w:b/>
        </w:rPr>
        <w:t>Key words:</w:t>
      </w:r>
      <w:r>
        <w:rPr>
          <w:rFonts w:ascii="Times New Roman" w:hAnsi="Times New Roman" w:cs="Times New Roman"/>
          <w:sz w:val="21"/>
          <w:szCs w:val="21"/>
        </w:rPr>
        <w:t xml:space="preserve"> intelligent transportation; 3D object detection; LiDAR point cloud; Kolmogorov-Arnold Network; B-spline function; traffic-object perception</w:t>
      </w:r>
    </w:p>
    <w:p w14:paraId="15973407">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随着智能网联汽车、车路协同系统和智慧道路基础设施的发展，道路交通场景中的三维目标检测已经成为交通环境感知的重要任务</w:t>
      </w:r>
      <w:r>
        <w:rPr>
          <w:vertAlign w:val="superscript"/>
          <w:rFonts w:ascii="Times New Roman" w:hAnsi="Times New Roman" w:cs="Times New Roman" w:eastAsia="宋体;SimSun"/>
          <w:sz w:val="21"/>
          <w:szCs w:val="21"/>
        </w:rPr>
        <w:t>[1-2]</w:t>
      </w:r>
      <w:r>
        <w:rPr>
          <w:rFonts w:ascii="Times New Roman" w:hAnsi="Times New Roman" w:cs="Times New Roman" w:eastAsia="宋体;SimSun"/>
          <w:sz w:val="21"/>
          <w:szCs w:val="21"/>
        </w:rPr>
        <w:t>。车载激光雷达能够主动获取道路空间的三维几何信息。它在夜间、逆光和部分复杂天气条件下具有较好的感知稳定性。因此，激光雷达感知结果直接影响车辆决策、轨迹规划和交通安全</w:t>
      </w:r>
      <w:r>
        <w:rPr>
          <w:vertAlign w:val="superscript"/>
          <w:rFonts w:ascii="Times New Roman" w:hAnsi="Times New Roman" w:cs="Times New Roman" w:eastAsia="宋体;SimSun"/>
          <w:sz w:val="21"/>
          <w:szCs w:val="21"/>
        </w:rPr>
        <w:t>[3-4]</w:t>
      </w:r>
      <w:r>
        <w:rPr>
          <w:rFonts w:ascii="Times New Roman" w:hAnsi="Times New Roman" w:cs="Times New Roman" w:eastAsia="宋体;SimSun"/>
          <w:sz w:val="21"/>
          <w:szCs w:val="21"/>
        </w:rPr>
        <w:t>。然而，实际道路中的点云数据具有明显的不均匀性。目标距离越远，点云越稀疏。道路边界、桥梁结构、车辆遮挡和行人小尺度形态也会增加检测难度。这些问题会导致远距离交通目标定位偏移，并会增加漏检风险</w:t>
      </w:r>
      <w:r>
        <w:rPr>
          <w:vertAlign w:val="superscript"/>
          <w:rFonts w:ascii="Times New Roman" w:hAnsi="Times New Roman" w:cs="Times New Roman" w:eastAsia="宋体;SimSun"/>
          <w:sz w:val="21"/>
          <w:szCs w:val="21"/>
        </w:rPr>
        <w:t>[5-6]</w:t>
      </w:r>
      <w:r>
        <w:rPr>
          <w:rFonts w:ascii="Times New Roman" w:hAnsi="Times New Roman" w:cs="Times New Roman" w:eastAsia="宋体;SimSun"/>
          <w:sz w:val="21"/>
          <w:szCs w:val="21"/>
        </w:rPr>
        <w:t>。</w:t>
      </w:r>
    </w:p>
    <w:p w14:paraId="64B3A597">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现有三维目标检测方法主要包括基于点和基于体素的两类路线。PointPillars</w:t>
      </w:r>
      <w:r>
        <w:rPr>
          <w:vertAlign w:val="superscript"/>
          <w:rFonts w:ascii="Times New Roman" w:hAnsi="Times New Roman" w:cs="Times New Roman" w:eastAsia="宋体;SimSun"/>
          <w:sz w:val="21"/>
          <w:szCs w:val="21"/>
        </w:rPr>
        <w:t>[7]</w:t>
      </w:r>
      <w:r>
        <w:rPr>
          <w:rFonts w:ascii="Times New Roman" w:hAnsi="Times New Roman" w:cs="Times New Roman" w:eastAsia="宋体;SimSun"/>
          <w:sz w:val="21"/>
          <w:szCs w:val="21"/>
        </w:rPr>
        <w:t xml:space="preserve"> 和 SECOND</w:t>
      </w:r>
      <w:r>
        <w:rPr>
          <w:vertAlign w:val="superscript"/>
          <w:rFonts w:ascii="Times New Roman" w:hAnsi="Times New Roman" w:cs="Times New Roman" w:eastAsia="宋体;SimSun"/>
          <w:sz w:val="21"/>
          <w:szCs w:val="21"/>
        </w:rPr>
        <w:t>[8]</w:t>
      </w:r>
      <w:r>
        <w:rPr>
          <w:rFonts w:ascii="Times New Roman" w:hAnsi="Times New Roman" w:cs="Times New Roman" w:eastAsia="宋体;SimSun"/>
          <w:sz w:val="21"/>
          <w:szCs w:val="21"/>
        </w:rPr>
        <w:t xml:space="preserve"> 将无序点云转换为柱状或体素网格，并借助卷积网络实现实时检测。PV-RCNN</w:t>
      </w:r>
      <w:r>
        <w:rPr>
          <w:vertAlign w:val="superscript"/>
          <w:rFonts w:ascii="Times New Roman" w:hAnsi="Times New Roman" w:cs="Times New Roman" w:eastAsia="宋体;SimSun"/>
          <w:sz w:val="21"/>
          <w:szCs w:val="21"/>
        </w:rPr>
        <w:t>[9]</w:t>
      </w:r>
      <w:r>
        <w:rPr>
          <w:rFonts w:ascii="Times New Roman" w:hAnsi="Times New Roman" w:cs="Times New Roman" w:eastAsia="宋体;SimSun"/>
          <w:sz w:val="21"/>
          <w:szCs w:val="21"/>
        </w:rPr>
        <w:t xml:space="preserve"> 和 CenterPoint</w:t>
      </w:r>
      <w:r>
        <w:rPr>
          <w:vertAlign w:val="superscript"/>
          <w:rFonts w:ascii="Times New Roman" w:hAnsi="Times New Roman" w:cs="Times New Roman" w:eastAsia="宋体;SimSun"/>
          <w:sz w:val="21"/>
          <w:szCs w:val="21"/>
        </w:rPr>
        <w:t>[10]</w:t>
      </w:r>
      <w:r>
        <w:rPr>
          <w:rFonts w:ascii="Times New Roman" w:hAnsi="Times New Roman" w:cs="Times New Roman" w:eastAsia="宋体;SimSun"/>
          <w:sz w:val="21"/>
          <w:szCs w:val="21"/>
        </w:rPr>
        <w:t xml:space="preserve"> 等方法进一步融合多尺度特征、中心点回归和注意力机制</w:t>
      </w:r>
      <w:r>
        <w:rPr>
          <w:vertAlign w:val="superscript"/>
          <w:rFonts w:ascii="Times New Roman" w:hAnsi="Times New Roman" w:cs="Times New Roman" w:eastAsia="宋体;SimSun"/>
          <w:sz w:val="21"/>
          <w:szCs w:val="21"/>
        </w:rPr>
        <w:t>[11-12]</w:t>
      </w:r>
      <w:r>
        <w:rPr>
          <w:rFonts w:ascii="Times New Roman" w:hAnsi="Times New Roman" w:cs="Times New Roman" w:eastAsia="宋体;SimSun"/>
          <w:sz w:val="21"/>
          <w:szCs w:val="21"/>
        </w:rPr>
        <w:t>。这些方法已经推动了自动驾驶感知技术的发展。可是，许多方法仍然依赖多层感知机和固定卷积结构。它们在表达道路交通目标的非线性边缘、局部遮挡和远距离稀疏形态时仍有不足</w:t>
      </w:r>
      <w:r>
        <w:rPr>
          <w:vertAlign w:val="superscript"/>
          <w:rFonts w:ascii="Times New Roman" w:hAnsi="Times New Roman" w:cs="Times New Roman" w:eastAsia="宋体;SimSun"/>
          <w:sz w:val="21"/>
          <w:szCs w:val="21"/>
        </w:rPr>
        <w:t>[13]</w:t>
      </w:r>
      <w:r>
        <w:rPr>
          <w:rFonts w:ascii="Times New Roman" w:hAnsi="Times New Roman" w:cs="Times New Roman" w:eastAsia="宋体;SimSun"/>
          <w:sz w:val="21"/>
          <w:szCs w:val="21"/>
        </w:rPr>
        <w:t>。对于行人和骑行者等弱几何目标，固定映射容易造成关键轮廓信息丢失，并会影响三维框回归稳定性</w:t>
      </w:r>
      <w:r>
        <w:rPr>
          <w:vertAlign w:val="superscript"/>
          <w:rFonts w:ascii="Times New Roman" w:hAnsi="Times New Roman" w:cs="Times New Roman" w:eastAsia="宋体;SimSun"/>
          <w:sz w:val="21"/>
          <w:szCs w:val="21"/>
        </w:rPr>
        <w:t>[14-17]</w:t>
      </w:r>
      <w:r>
        <w:rPr>
          <w:rFonts w:ascii="Times New Roman" w:hAnsi="Times New Roman" w:cs="Times New Roman" w:eastAsia="宋体;SimSun"/>
          <w:sz w:val="21"/>
          <w:szCs w:val="21"/>
        </w:rPr>
        <w:t>。</w:t>
      </w:r>
    </w:p>
    <w:p w14:paraId="5AE482C5">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Kolmogorov-Arnold Network（KAN）为交通点云感知提供了新的建模思路</w:t>
      </w:r>
      <w:r>
        <w:rPr>
          <w:vertAlign w:val="superscript"/>
          <w:rFonts w:ascii="Times New Roman" w:hAnsi="Times New Roman" w:cs="Times New Roman" w:eastAsia="宋体;SimSun"/>
          <w:sz w:val="21"/>
          <w:szCs w:val="21"/>
        </w:rPr>
        <w:t>[15,18]</w:t>
      </w:r>
      <w:r>
        <w:rPr>
          <w:rFonts w:ascii="Times New Roman" w:hAnsi="Times New Roman" w:cs="Times New Roman" w:eastAsia="宋体;SimSun"/>
          <w:sz w:val="21"/>
          <w:szCs w:val="21"/>
        </w:rPr>
        <w:t>。KAN 将可学习的非线性函数放在网络连接边上，并利用 B 样条函数进行局部拟合</w:t>
      </w:r>
      <w:r>
        <w:rPr>
          <w:vertAlign w:val="superscript"/>
          <w:rFonts w:ascii="Times New Roman" w:hAnsi="Times New Roman" w:cs="Times New Roman" w:eastAsia="宋体;SimSun"/>
          <w:sz w:val="21"/>
          <w:szCs w:val="21"/>
        </w:rPr>
        <w:t>[15]</w:t>
      </w:r>
      <w:r>
        <w:rPr>
          <w:rFonts w:ascii="Times New Roman" w:hAnsi="Times New Roman" w:cs="Times New Roman" w:eastAsia="宋体;SimSun"/>
          <w:sz w:val="21"/>
          <w:szCs w:val="21"/>
        </w:rPr>
        <w:t>。这种结构适合描述道路交通目标的连续几何变化。它也有利于在较少参数下表达复杂空间关系。已有研究表明，KAN 在图结构学习、时序建模和图像特征提取中具有较好的非线性表达能力</w:t>
      </w:r>
      <w:r>
        <w:rPr>
          <w:vertAlign w:val="superscript"/>
          <w:rFonts w:ascii="Times New Roman" w:hAnsi="Times New Roman" w:cs="Times New Roman" w:eastAsia="宋体;SimSun"/>
          <w:sz w:val="21"/>
          <w:szCs w:val="21"/>
        </w:rPr>
        <w:t>[19-21]</w:t>
      </w:r>
      <w:r>
        <w:rPr>
          <w:rFonts w:ascii="Times New Roman" w:hAnsi="Times New Roman" w:cs="Times New Roman" w:eastAsia="宋体;SimSun"/>
          <w:sz w:val="21"/>
          <w:szCs w:val="21"/>
        </w:rPr>
        <w:t>。但是，道路点云具有强稀疏性和强场景差异。如何利用样条函数保持点云下采样后的局部连续性，并将这种连续性转化为交通目标检测精度，仍然需要进一步研究</w:t>
      </w:r>
      <w:r>
        <w:rPr>
          <w:vertAlign w:val="superscript"/>
          <w:rFonts w:ascii="Times New Roman" w:hAnsi="Times New Roman" w:cs="Times New Roman" w:eastAsia="宋体;SimSun"/>
          <w:sz w:val="21"/>
          <w:szCs w:val="21"/>
        </w:rPr>
        <w:t>[22]</w:t>
      </w:r>
      <w:r>
        <w:rPr>
          <w:rFonts w:ascii="Times New Roman" w:hAnsi="Times New Roman" w:cs="Times New Roman" w:eastAsia="宋体;SimSun"/>
          <w:sz w:val="21"/>
          <w:szCs w:val="21"/>
        </w:rPr>
        <w:t>。</w:t>
      </w:r>
    </w:p>
    <w:p w14:paraId="0B79B582">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基于上述问题，本文提出一种面向道路交通场景的 Point-KAN-3D 轻量化三维目标检测方法。本文的主要工作包括以下三个方面：</w:t>
      </w:r>
    </w:p>
    <w:p w14:paraId="5734EBF4">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交通目标局部特征增强：本文设计 Point-KAN 模块。该模块利用 B 样条函数替代传统 MLP 的固定线性投影。它能够刻画车辆边缘、行人肢体和骑行者轮廓等局部几何细节。</w:t>
      </w:r>
    </w:p>
    <w:p w14:paraId="244CE488">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交通感知效率平衡：本文结合轻量化主干网络设计</w:t>
      </w:r>
      <w:r>
        <w:rPr>
          <w:vertAlign w:val="superscript"/>
          <w:rFonts w:ascii="Times New Roman" w:hAnsi="Times New Roman" w:cs="Times New Roman" w:eastAsia="宋体;SimSun"/>
          <w:sz w:val="21"/>
          <w:szCs w:val="21"/>
        </w:rPr>
        <w:t>[7-8]</w:t>
      </w:r>
      <w:r>
        <w:rPr>
          <w:rFonts w:ascii="Times New Roman" w:hAnsi="Times New Roman" w:cs="Times New Roman" w:eastAsia="宋体;SimSun"/>
          <w:sz w:val="21"/>
          <w:szCs w:val="21"/>
        </w:rP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1 本文算法</w:t>
      </w:r>
    </w:p>
    <w:p w14:paraId="04135C35">
      <w:pPr>
        <w:pStyle w:val="6"/>
        <w:jc w:val="left"/>
        <w:rPr>
          <w:rFonts w:ascii="黑体;SimHei" w:hAnsi="黑体;SimHei" w:cs="黑体;SimHei" w:eastAsia="黑体;SimHei"/>
          <w:sz w:val="21"/>
          <w:szCs w:val="21"/>
        </w:rPr>
      </w:pPr>
      <w:r>
        <w:rPr>
          <w:rFonts w:ascii="黑体;SimHei" w:hAnsi="黑体;SimHei" w:cs="黑体;SimHei" w:eastAsia="黑体;SimHei"/>
          <w:sz w:val="21"/>
          <w:szCs w:val="21"/>
        </w:rPr>
        <w:t>1.1 算法总体架构</w:t>
      </w:r>
    </w:p>
    <w:p w14:paraId="5CFBA560">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本文提出的 Point-KAN-3D 是一种面向道路交通场景的轻量化三维目标检测框架。该框架以 Kolmogorov-Arnold 网络（KAN）</w:t>
      </w:r>
      <w:r>
        <w:rPr>
          <w:vertAlign w:val="superscript"/>
          <w:rFonts w:ascii="Times New Roman" w:hAnsi="Times New Roman" w:cs="Times New Roman" w:eastAsia="宋体;SimSun"/>
          <w:sz w:val="21"/>
          <w:szCs w:val="21"/>
        </w:rPr>
        <w:t>[15]</w:t>
      </w:r>
      <w:r>
        <w:rPr>
          <w:rFonts w:ascii="Times New Roman" w:hAnsi="Times New Roman" w:cs="Times New Roman" w:eastAsia="宋体;SimSun"/>
          <w:sz w:val="21"/>
          <w:szCs w:val="21"/>
        </w:rP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spacing w:before="0" w:beforeAutospacing="0" w:after="0" w:afterAutospacing="0" w:line="360" w:lineRule="auto"/>
        <w:ind w:firstLine="420"/>
        <w:jc w:val="center"/>
        <w:rPr>
          <w:rFonts w:hint="eastAsia" w:ascii="宋体" w:hAnsi="宋体" w:eastAsia="宋体" w:cs="宋体"/>
          <w:color w:val="333333"/>
        </w:rPr>
      </w:pPr>
      <w:r>
        <w:rPr>
          <w:rFonts w:hint="eastAsia" w:ascii="宋体" w:hAnsi="宋体" w:eastAsia="宋体" w:cs="宋体"/>
          <w:color w:val="333333"/>
          <w:lang w:eastAsia="zh-CN"/>
        </w:rPr>
        <w:drawing>
          <wp:inline distT="0" distB="0" distL="114300" distR="114300">
            <wp:extent cx="5342890" cy="3455670"/>
            <wp:effectExtent l="0" t="0" r="10160"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jc w:val="center"/>
        <w:rPr>
          <w:rFonts w:ascii="黑体;SimHei" w:hAnsi="黑体;SimHei" w:cs="黑体;SimHei" w:eastAsia="黑体;SimHei"/>
          <w:sz w:val="18"/>
          <w:szCs w:val="18"/>
        </w:rPr>
      </w:pPr>
      <w:r>
        <w:rPr>
          <w:bCs/>
          <w:rFonts w:ascii="黑体;SimHei" w:hAnsi="黑体;SimHei" w:cs="黑体;SimHei" w:eastAsia="黑体;SimHei"/>
          <w:sz w:val="18"/>
          <w:szCs w:val="18"/>
        </w:rPr>
        <w:t>图 1 Point-KAN-3D 算法整体架构图</w:t>
      </w:r>
    </w:p>
    <w:p w14:paraId="5007629B">
      <w:pPr>
        <w:pStyle w:val="6"/>
        <w:jc w:val="center"/>
        <w:rPr>
          <w:rFonts w:ascii="Times New Roman" w:hAnsi="Times New Roman" w:cs="Times New Roman"/>
          <w:sz w:val="18"/>
          <w:szCs w:val="18"/>
        </w:rPr>
      </w:pPr>
      <w:r>
        <w:rPr>
          <w:rFonts w:ascii="Times New Roman" w:hAnsi="Times New Roman" w:cs="Times New Roman"/>
          <w:sz w:val="18"/>
          <w:szCs w:val="18"/>
        </w:rPr>
        <w:t>Fig. 1 The overall architecture of Point-KAN-3D algorithm</w:t>
      </w:r>
    </w:p>
    <w:p w14:paraId="7F7309DE">
      <w:pPr>
        <w:pStyle w:val="6"/>
        <w:jc w:val="left"/>
        <w:rPr>
          <w:rFonts w:ascii="黑体;SimHei" w:hAnsi="黑体;SimHei" w:cs="黑体;SimHei" w:eastAsia="黑体;SimHei"/>
          <w:sz w:val="21"/>
          <w:szCs w:val="21"/>
        </w:rPr>
      </w:pPr>
      <w:r>
        <w:rPr>
          <w:rFonts w:ascii="黑体;SimHei" w:hAnsi="黑体;SimHei" w:cs="黑体;SimHei" w:eastAsia="黑体;SimHei"/>
          <w:sz w:val="21"/>
          <w:szCs w:val="21"/>
        </w:rPr>
        <w:t>1.2 面向交通目标的局部几何特征增强（Point-KAN）</w:t>
      </w:r>
    </w:p>
    <w:p w14:paraId="7B4E9191">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vertAlign w:val="superscript"/>
          <w:rFonts w:ascii="Times New Roman" w:hAnsi="Times New Roman" w:cs="Times New Roman" w:eastAsia="宋体;SimSun"/>
          <w:sz w:val="21"/>
          <w:szCs w:val="21"/>
        </w:rPr>
        <w:t>[18]</w:t>
      </w:r>
      <w:r>
        <w:rPr>
          <w:rFonts w:ascii="Times New Roman" w:hAnsi="Times New Roman" w:cs="Times New Roman" w:eastAsia="宋体;SimSun"/>
          <w:sz w:val="21"/>
          <w:szCs w:val="21"/>
        </w:rP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cs="Times New Roman" w:eastAsia="宋体;SimSun"/>
          <w:sz w:val="21"/>
          <w:szCs w:val="21"/>
        </w:rP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ascii="Times New Roman" w:hAnsi="Times New Roman" w:cs="Times New Roman" w:eastAsia="宋体;SimSun"/>
          <w:sz w:val="21"/>
          <w:szCs w:val="21"/>
        </w:rP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cs="Times New Roman" w:eastAsia="宋体;SimSun"/>
          <w:sz w:val="21"/>
          <w:szCs w:val="21"/>
        </w:rPr>
        <w:t>，其高维空间映射过程可表达为：</w:t>
      </w:r>
    </w:p>
    <w:p w14:paraId="103354B3">
      <w:pPr>
        <w:pStyle w:val="6"/>
        <w:keepNext w:val="0"/>
        <w:keepLines w:val="0"/>
        <w:widowControl/>
        <w:spacing w:before="0" w:beforeAutospacing="0" w:after="0" w:afterAutospacing="0" w:line="360" w:lineRule="auto"/>
        <w:ind w:firstLine="420"/>
        <w:jc w:val="both"/>
      </w:pPr>
      <m:oMathPara>
        <m:oMathParaPr>
          <m:jc m:val="center"/>
        </m:oMathParaPr>
        <m:oMath>
          <m:sSub>
            <m:e>
              <m:r>
                <m:t>f</m:t>
              </m:r>
            </m:e>
            <m:sub>
              <m:r>
                <m:t>i</m:t>
              </m:r>
            </m:sub>
          </m:sSub>
          <m:r>
            <m:t>=</m:t>
          </m:r>
          <m:nary>
            <m:naryPr>
              <m:chr m:val="∑"/>
              <m:limLoc m:val="undOvr"/>
              <m:subHide m:val="0"/>
              <m:supHide m:val="0"/>
            </m:naryPr>
            <m:sub>
              <m:r>
                <m:t>j</m:t>
              </m:r>
              <m:r>
                <m:t>=</m:t>
              </m:r>
              <m:r>
                <m:t>1</m:t>
              </m:r>
            </m:sub>
            <m:sup>
              <m:sSub>
                <m:e>
                  <m:r>
                    <m:t>d</m:t>
                  </m:r>
                </m:e>
                <m:sub>
                  <m:r>
                    <m:t>i</m:t>
                  </m:r>
                  <m:r>
                    <m:t>n</m:t>
                  </m:r>
                </m:sub>
              </m:sSub>
            </m:sup>
            <m:e>
              <m:sSub>
                <m:e>
                  <m:r>
                    <m:t>Φ</m:t>
                  </m:r>
                </m:e>
                <m:sub>
                  <m:r>
                    <m:t>i</m:t>
                  </m:r>
                  <m:r>
                    <m:t>,</m:t>
                  </m:r>
                  <m:r>
                    <m:t>j</m:t>
                  </m:r>
                </m:sub>
              </m:sSub>
            </m:e>
          </m:nary>
          <m:r>
            <m:t>(</m:t>
          </m:r>
          <m:sSub>
            <m:e>
              <m:r>
                <m:t>x</m:t>
              </m:r>
            </m:e>
            <m:sub>
              <m:r>
                <m:t>j</m:t>
              </m:r>
            </m:sub>
          </m:sSub>
          <m:r>
            <m:t>)</m:t>
          </m:r>
        </m:oMath>
      </m:oMathPara>
    </w:p>
    <w:p w14:paraId="1C451598">
      <w:pPr>
        <w:spacing w:line="314" w:lineRule="exact"/>
        <w:ind w:firstLine="420"/>
        <w:jc w:val="both"/>
        <w:rPr>
          <w:rFonts w:ascii="Times New Roman" w:hAnsi="Times New Roman" w:cs="Times New Roman" w:eastAsia="宋体;SimSun"/>
          <w:sz w:val="21"/>
          <w:szCs w:val="21"/>
        </w:rPr>
      </w:pPr>
      <w:r>
        <w:rPr>
          <w:kern w:val="0"/>
          <w:lang w:bidi="a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kern w:val="0"/>
          <w:lang w:bidi="ar"/>
          <w:rFonts w:ascii="Times New Roman" w:hAnsi="Times New Roman" w:cs="Times New Roman" w:eastAsia="宋体;SimSun"/>
          <w:sz w:val="21"/>
          <w:szCs w:val="21"/>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Fonts w:ascii="Times New Roman" w:hAnsi="Times New Roman" w:cs="Times New Roman" w:eastAsia="宋体;SimSun"/>
          <w:sz w:val="21"/>
          <w:szCs w:val="21"/>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kern w:val="0"/>
          <w:lang w:bidi="ar"/>
          <w:rFonts w:ascii="Times New Roman" w:hAnsi="Times New Roman" w:cs="Times New Roman" w:eastAsia="宋体;SimSun"/>
          <w:sz w:val="21"/>
          <w:szCs w:val="21"/>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spacing w:before="0" w:after="0" w:line="360" w:lineRule="auto"/>
        <w:ind w:firstLine="420"/>
        <w:jc w:val="both"/>
        <w:rPr>
          <w:rFonts w:hint="eastAsia" w:ascii="宋体" w:hAnsi="宋体" w:eastAsia="宋体" w:cs="宋体"/>
          <w:kern w:val="0"/>
          <w:sz w:val="24"/>
          <w:lang w:bidi="ar"/>
        </w:rPr>
      </w:pPr>
      <m:oMathPara>
        <m:oMathParaPr>
          <m:jc m:val="center"/>
        </m:oMathParaPr>
        <m:oMath>
          <m:r>
            <m:t>Φ</m:t>
          </m:r>
          <m:r>
            <m:t>(</m:t>
          </m:r>
          <m:r>
            <m:t>x</m:t>
          </m:r>
          <m:r>
            <m:t>)</m:t>
          </m:r>
          <m:r>
            <m:t>=</m:t>
          </m:r>
          <m:nary>
            <m:naryPr>
              <m:chr m:val="∑"/>
              <m:limLoc m:val="undOvr"/>
              <m:subHide m:val="0"/>
              <m:supHide m:val="0"/>
            </m:naryPr>
            <m:sub>
              <m:r>
                <m:t>k</m:t>
              </m:r>
              <m:r>
                <m:t>=</m:t>
              </m:r>
              <m:r>
                <m:t>1</m:t>
              </m:r>
            </m:sub>
            <m:sup>
              <m:r>
                <m:t>m</m:t>
              </m:r>
            </m:sup>
            <m:e>
              <m:sSub>
                <m:e>
                  <m:r>
                    <m:t>w</m:t>
                  </m:r>
                </m:e>
                <m:sub>
                  <m:r>
                    <m:t>k</m:t>
                  </m:r>
                </m:sub>
              </m:sSub>
            </m:e>
          </m:nary>
          <m:sSub>
            <m:e>
              <m:r>
                <m:t>B</m:t>
              </m:r>
            </m:e>
            <m:sub>
              <m:r>
                <m:t>k</m:t>
              </m:r>
            </m:sub>
          </m:sSub>
          <m:r>
            <m:t>(</m:t>
          </m:r>
          <m:r>
            <m:t>x</m:t>
          </m:r>
          <m:r>
            <m:t>)</m:t>
          </m:r>
        </m:oMath>
      </m:oMathPara>
    </w:p>
    <w:p w14:paraId="1CBF40F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Fonts w:ascii="Times New Roman" w:hAnsi="Times New Roman" w:cs="Times New Roman" w:eastAsia="宋体;SimSun"/>
          <w:sz w:val="21"/>
          <w:szCs w:val="21"/>
        </w:rPr>
        <w:t>[23]</w:t>
      </w:r>
      <w:r>
        <w:rPr>
          <w:rFonts w:ascii="Times New Roman" w:hAnsi="Times New Roman" w:cs="Times New Roman" w:eastAsia="宋体;SimSun"/>
          <w:sz w:val="21"/>
          <w:szCs w:val="21"/>
        </w:rPr>
        <w:t>，该模块能够增强行人肢体、骑行者轮廓和车辆边界等细节特征。这种特征增强有助于降低复杂道路场景中的漏检和框偏移。</w:t>
      </w:r>
    </w:p>
    <w:p w14:paraId="51346A73">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该模块也借鉴了点云局部邻域层次建模思想。PointNet++ 通过层次邻域聚合提升了点云局部特征学习能力</w:t>
      </w:r>
      <w:r>
        <w:rPr>
          <w:vertAlign w:val="superscript"/>
          <w:rFonts w:ascii="Times New Roman" w:hAnsi="Times New Roman" w:cs="Times New Roman" w:eastAsia="宋体;SimSun"/>
          <w:sz w:val="21"/>
          <w:szCs w:val="21"/>
        </w:rPr>
        <w:t>[24]</w:t>
      </w:r>
      <w:r>
        <w:rPr>
          <w:rFonts w:ascii="Times New Roman" w:hAnsi="Times New Roman" w:cs="Times New Roman" w:eastAsia="宋体;SimSun"/>
          <w:sz w:val="21"/>
          <w:szCs w:val="21"/>
        </w:rPr>
        <w:t>。</w:t>
      </w:r>
    </w:p>
    <w:p w14:paraId="702C9620">
      <w:pPr>
        <w:pStyle w:val="6"/>
        <w:keepNext/>
        <w:keepLines/>
        <w:pageBreakBefore/>
        <w:widowControl/>
        <w:spacing w:before="0" w:beforeAutospacing="0" w:after="0" w:afterAutospacing="0" w:line="360" w:lineRule="auto"/>
        <w:ind w:firstLine="420"/>
        <w:jc w:val="center"/>
      </w:pPr>
      <w:r>
        <w:rPr>
          <w:rFonts w:hint="eastAsia" w:ascii="宋体" w:hAnsi="宋体" w:eastAsia="宋体" w:cs="宋体"/>
          <w:color w:val="333333"/>
          <w:lang w:eastAsia="zh-CN"/>
        </w:rPr>
        <w:drawing>
          <wp:inline distT="0" distB="0" distL="114300" distR="114300">
            <wp:extent cx="5342890" cy="34556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jc w:val="center"/>
        <w:rPr>
          <w:rFonts w:ascii="黑体;SimHei" w:hAnsi="黑体;SimHei" w:cs="黑体;SimHei" w:eastAsia="黑体;SimHei"/>
          <w:sz w:val="18"/>
          <w:szCs w:val="18"/>
        </w:rPr>
      </w:pPr>
      <w:r>
        <w:rPr>
          <w:bCs/>
          <w:rFonts w:ascii="黑体;SimHei" w:hAnsi="黑体;SimHei" w:cs="黑体;SimHei" w:eastAsia="黑体;SimHei"/>
          <w:sz w:val="18"/>
          <w:szCs w:val="18"/>
        </w:rPr>
        <w:t>图 2 面向交通目标的 Point-KAN 局部几何特征增强模块</w:t>
      </w:r>
    </w:p>
    <w:p w14:paraId="7020D5A5">
      <w:pPr>
        <w:pStyle w:val="6"/>
        <w:jc w:val="center"/>
        <w:rPr>
          <w:rFonts w:ascii="Times New Roman" w:hAnsi="Times New Roman" w:cs="Times New Roman"/>
          <w:sz w:val="18"/>
          <w:szCs w:val="18"/>
        </w:rPr>
      </w:pPr>
      <w:r>
        <w:rPr>
          <w:rFonts w:ascii="Times New Roman" w:hAnsi="Times New Roman" w:cs="Times New Roman"/>
          <w:sz w:val="18"/>
          <w:szCs w:val="18"/>
        </w:rPr>
        <w:t>Fig. 2 Point-KAN module for local geometric feature enhancement of traffic objects</w:t>
      </w:r>
    </w:p>
    <w:p w14:paraId="4376ABAC">
      <w:pPr>
        <w:pStyle w:val="6"/>
        <w:jc w:val="left"/>
        <w:rPr>
          <w:rFonts w:ascii="黑体;SimHei" w:hAnsi="黑体;SimHei" w:cs="黑体;SimHei" w:eastAsia="黑体;SimHei"/>
          <w:sz w:val="21"/>
          <w:szCs w:val="21"/>
        </w:rPr>
      </w:pPr>
      <w:r>
        <w:rPr>
          <w:rFonts w:ascii="黑体;SimHei" w:hAnsi="黑体;SimHei" w:cs="黑体;SimHei" w:eastAsia="黑体;SimHei"/>
          <w:sz w:val="21"/>
          <w:szCs w:val="21"/>
        </w:rPr>
        <w:t>1.3 面向道路空间的自适应样条稀疏体素编码（Sparse KAN-Voxel）</w:t>
      </w:r>
    </w:p>
    <w:p w14:paraId="18CD09ED">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体素化三维检测路线以 VoxelNet 和 SECOND 等方法为代表，它们通过规则空间划分提高了点云检测效率</w:t>
      </w:r>
      <w:r>
        <w:rPr>
          <w:rFonts w:ascii="Times New Roman" w:hAnsi="Times New Roman" w:cs="Times New Roman" w:eastAsia="宋体;SimSun"/>
          <w:sz w:val="21"/>
          <w:szCs w:val="21"/>
          <w:vertAlign w:val="superscript"/>
        </w:rPr>
        <w:t>[8,25]</w:t>
      </w:r>
      <w:r>
        <w:rPr>
          <w:rFonts w:ascii="Times New Roman" w:hAnsi="Times New Roman" w:cs="Times New Roman" w:eastAsia="宋体;SimSun"/>
          <w:sz w:val="21"/>
          <w:szCs w:val="21"/>
        </w:rPr>
        <w:t>。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spacing w:before="0" w:after="0" w:line="360" w:lineRule="auto"/>
        <w:ind w:firstLine="420"/>
        <w:jc w:val="center"/>
      </w:pPr>
      <m:oMathPara>
        <m:oMathParaPr>
          <m:jc m:val="center"/>
        </m:oMathParaPr>
        <m:oMath>
          <m:sSub>
            <m:e>
              <m:r>
                <m:t>V</m:t>
              </m:r>
            </m:e>
            <m:sub>
              <m:r>
                <m:t>f</m:t>
              </m:r>
              <m:r>
                <m:t>e</m:t>
              </m:r>
              <m:r>
                <m:t>a</m:t>
              </m:r>
              <m:r>
                <m:t>t</m:t>
              </m:r>
            </m:sub>
          </m:sSub>
          <m:r>
            <m:t>=</m:t>
          </m:r>
          <m:r>
            <m:rPr>
              <m:nor/>
            </m:rPr>
            <m:t>Agg</m:t>
          </m:r>
          <m:r>
            <m:t>(</m:t>
          </m:r>
          <m:r>
            <m:t>Ψ</m:t>
          </m:r>
          <m:r>
            <m:t>(</m:t>
          </m:r>
          <m:sSub>
            <m:e>
              <m:r>
                <m:t>p</m:t>
              </m:r>
            </m:e>
            <m:sub>
              <m:r>
                <m:t>i</m:t>
              </m:r>
            </m:sub>
          </m:sSub>
          <m:r>
            <m:t>−</m:t>
          </m:r>
          <m:sSub>
            <m:e>
              <m:r>
                <m:t>c</m:t>
              </m:r>
            </m:e>
            <m:sub>
              <m:r>
                <m:t>k</m:t>
              </m:r>
            </m:sub>
          </m:sSub>
          <m:r>
            <m:t>)</m:t>
          </m:r>
          <m:r>
            <m:t>)</m:t>
          </m:r>
        </m:oMath>
      </m:oMathPara>
    </w:p>
    <w:p w14:paraId="15C70896">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rPr>
          <w:rFonts w:ascii="Times New Roman" w:hAnsi="Times New Roman" w:cs="Times New Roman" w:eastAsia="宋体;SimSun"/>
          <w:sz w:val="21"/>
          <w:szCs w:val="21"/>
        </w:rP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spacing w:before="0" w:after="0" w:line="360" w:lineRule="auto"/>
        <w:ind w:firstLine="420"/>
        <w:jc w:val="both"/>
        <w:rPr>
          <w:rFonts w:hint="eastAsia" w:ascii="宋体" w:hAnsi="宋体" w:eastAsia="宋体" w:cs="宋体"/>
          <w:color w:val="333333"/>
          <w:sz w:val="24"/>
        </w:rPr>
      </w:pPr>
      <m:oMathPara>
        <m:oMathParaPr>
          <m:jc m:val="center"/>
        </m:oMathParaPr>
        <m:oMath>
          <m:sSub>
            <m:e>
              <m:r>
                <m:t>Ψ</m:t>
              </m:r>
            </m:e>
            <m:sub>
              <m:r>
                <m:t>i</m:t>
              </m:r>
              <m:r>
                <m:t>n</m:t>
              </m:r>
              <m:r>
                <m:t>t</m:t>
              </m:r>
              <m:r>
                <m:t>e</m:t>
              </m:r>
              <m:r>
                <m:t>r</m:t>
              </m:r>
              <m:r>
                <m:t>p</m:t>
              </m:r>
            </m:sub>
          </m:sSub>
          <m:r>
            <m:t>(</m:t>
          </m:r>
          <m:r>
            <m:t>x</m:t>
          </m:r>
          <m:r>
            <m:t>)</m:t>
          </m:r>
          <m:r>
            <m:t>=</m:t>
          </m:r>
          <m:nary>
            <m:naryPr>
              <m:chr m:val="∑"/>
              <m:limLoc m:val="undOvr"/>
              <m:subHide m:val="0"/>
              <m:supHide m:val="1"/>
            </m:naryPr>
            <m:sub>
              <m:r>
                <m:t>i</m:t>
              </m:r>
            </m:sub>
            <m:sup>
              <m:r>
                <m:t>​</m:t>
              </m:r>
            </m:sup>
            <m:e>
              <m:sSub>
                <m:e>
                  <m:r>
                    <m:t>α</m:t>
                  </m:r>
                </m:e>
                <m:sub>
                  <m:r>
                    <m:t>i</m:t>
                  </m:r>
                </m:sub>
              </m:sSub>
            </m:e>
          </m:nary>
          <m:sSub>
            <m:e>
              <m:r>
                <m:t>B</m:t>
              </m:r>
            </m:e>
            <m:sub>
              <m:r>
                <m:t>i</m:t>
              </m:r>
            </m:sub>
          </m:sSub>
          <m:r>
            <m:t>(</m:t>
          </m:r>
          <m:r>
            <m:t>x</m:t>
          </m:r>
          <m:r>
            <m:t>)</m:t>
          </m:r>
        </m:oMath>
      </m:oMathPara>
    </w:p>
    <w:p w14:paraId="0FFD6404">
      <w:pPr>
        <w:spacing w:line="314" w:lineRule="exact"/>
        <w:ind w:firstLine="420"/>
        <w:jc w:val="both"/>
        <w:rPr>
          <w:rFonts w:ascii="Times New Roman" w:hAnsi="Times New Roman" w:cs="Times New Roman" w:eastAsia="宋体;SimSun"/>
          <w:sz w:val="21"/>
          <w:szCs w:val="21"/>
        </w:rPr>
      </w:pPr>
      <w:r>
        <w:rPr>
          <w:kern w:val="0"/>
          <w:lang w:bidi="a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Fonts w:ascii="Times New Roman" w:hAnsi="Times New Roman" w:cs="Times New Roman" w:eastAsia="宋体;SimSun"/>
          <w:sz w:val="21"/>
          <w:szCs w:val="21"/>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kern w:val="0"/>
          <w:lang w:bidi="ar"/>
          <w:rFonts w:ascii="Times New Roman" w:hAnsi="Times New Roman" w:cs="Times New Roman" w:eastAsia="宋体;SimSun"/>
          <w:sz w:val="21"/>
          <w:szCs w:val="21"/>
        </w:rPr>
        <w:t>。该设计能够提高道路空间特征的连续性。它也能减少编码器内存占用，并支持车载平台上的实时推理。</w:t>
      </w:r>
    </w:p>
    <w:p w14:paraId="153F3511">
      <w:pPr>
        <w:keepNext/>
        <w:keepLines/>
        <w:pageBreakBefore/>
        <w:spacing w:before="0" w:after="0" w:line="360" w:lineRule="auto"/>
        <w:ind w:firstLine="420"/>
        <w:jc w:val="center"/>
      </w:pPr>
      <w:r>
        <w:rPr>
          <w:rFonts w:hint="eastAsia" w:eastAsiaTheme="minorEastAsia"/>
          <w:lang w:eastAsia="zh-CN"/>
        </w:rPr>
        <w:drawing>
          <wp:inline distT="0" distB="0" distL="114300" distR="114300">
            <wp:extent cx="6107430" cy="4173220"/>
            <wp:effectExtent l="0" t="0" r="7620" b="177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jc w:val="center"/>
        <w:rPr>
          <w:rFonts w:ascii="黑体;SimHei" w:hAnsi="黑体;SimHei" w:cs="黑体;SimHei" w:eastAsia="黑体;SimHei"/>
          <w:sz w:val="18"/>
          <w:szCs w:val="18"/>
        </w:rPr>
      </w:pPr>
      <w:r>
        <w:rPr>
          <w:bCs/>
          <w:kern w:val="0"/>
          <w:lang w:bidi="ar"/>
          <w:rFonts w:ascii="黑体;SimHei" w:hAnsi="黑体;SimHei" w:cs="黑体;SimHei" w:eastAsia="黑体;SimHei"/>
          <w:sz w:val="18"/>
          <w:szCs w:val="18"/>
        </w:rPr>
        <w:t>图 3 面向道路空间的 Sparse KAN-Voxel 自适应样条编码模块</w:t>
      </w:r>
    </w:p>
    <w:p w14:paraId="39ACBC83">
      <w:pPr>
        <w:jc w:val="center"/>
        <w:rPr>
          <w:rFonts w:ascii="Times New Roman" w:hAnsi="Times New Roman" w:cs="Times New Roman"/>
          <w:sz w:val="18"/>
          <w:szCs w:val="18"/>
        </w:rPr>
      </w:pPr>
      <w:r>
        <w:rPr>
          <w:kern w:val="0"/>
          <w:lang w:bidi="ar"/>
          <w:rFonts w:ascii="Times New Roman" w:hAnsi="Times New Roman" w:cs="Times New Roman"/>
          <w:sz w:val="18"/>
          <w:szCs w:val="18"/>
        </w:rPr>
        <w:t>Fig. 3 Sparse KAN-Voxel module for adaptive spline encoding in road space</w:t>
      </w:r>
    </w:p>
    <w:p w14:paraId="32C8CD20">
      <w:pPr>
        <w:pStyle w:val="6"/>
        <w:jc w:val="left"/>
        <w:rPr>
          <w:rFonts w:ascii="黑体;SimHei" w:hAnsi="黑体;SimHei" w:cs="黑体;SimHei" w:eastAsia="黑体;SimHei"/>
          <w:sz w:val="21"/>
          <w:szCs w:val="21"/>
        </w:rPr>
      </w:pPr>
      <w:r>
        <w:rPr>
          <w:rFonts w:ascii="黑体;SimHei" w:hAnsi="黑体;SimHei" w:cs="黑体;SimHei" w:eastAsia="黑体;SimHei"/>
          <w:sz w:val="21"/>
          <w:szCs w:val="21"/>
        </w:rPr>
        <w:t>1.4 多任务损失函数约束</w:t>
      </w:r>
    </w:p>
    <w:p w14:paraId="5C720ECD">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rPr>
          <w:rFonts w:ascii="Times New Roman" w:hAnsi="Times New Roman" w:cs="Times New Roman" w:eastAsia="宋体;SimSun"/>
          <w:sz w:val="21"/>
          <w:szCs w:val="21"/>
        </w:rPr>
        <w:t>。考虑到三维检测中朝向角具有周期性，本文对朝向角 θ 引入正弦约束项以平衡梯度：</w:t>
      </w:r>
    </w:p>
    <w:p w14:paraId="1EAEC7EF">
      <w:pPr>
        <w:pStyle w:val="6"/>
        <w:keepNext w:val="0"/>
        <w:keepLines w:val="0"/>
        <w:widowControl/>
        <w:spacing w:before="0" w:beforeAutospacing="0" w:after="0" w:afterAutospacing="0" w:line="360" w:lineRule="auto"/>
        <w:jc w:val="both"/>
        <w:rPr>
          <w:rFonts w:hint="eastAsia" w:ascii="宋体" w:hAnsi="宋体" w:eastAsia="宋体" w:cs="宋体"/>
          <w:color w:val="333333"/>
        </w:rPr>
      </w:pPr>
      <m:oMathPara>
        <m:oMathParaPr>
          <m:jc m:val="center"/>
        </m:oMathParaPr>
        <m:oMath>
          <m:sSub>
            <m:e>
              <m:r>
                <m:t>L</m:t>
              </m:r>
            </m:e>
            <m:sub>
              <m:r>
                <m:t>d</m:t>
              </m:r>
              <m:r>
                <m:t>i</m:t>
              </m:r>
              <m:r>
                <m:t>r</m:t>
              </m:r>
            </m:sub>
          </m:sSub>
          <m:r>
            <m:t>=</m:t>
          </m:r>
          <m:r>
            <m:t>S</m:t>
          </m:r>
          <m:r>
            <m:t>m</m:t>
          </m:r>
          <m:r>
            <m:t>o</m:t>
          </m:r>
          <m:r>
            <m:t>o</m:t>
          </m:r>
          <m:r>
            <m:t>t</m:t>
          </m:r>
          <m:r>
            <m:t>h</m:t>
          </m:r>
          <m:r>
            <m:rPr>
              <m:nor/>
            </m:rPr>
            <m:t>-</m:t>
          </m:r>
          <m:r>
            <m:t>L</m:t>
          </m:r>
          <m:r>
            <m:t>1</m:t>
          </m:r>
          <m:r>
            <m:t>(</m:t>
          </m:r>
          <m:r>
            <m:rPr>
              <m:nor/>
            </m:rPr>
            <m:t>sin</m:t>
          </m:r>
          <m:r>
            <m:t>(</m:t>
          </m:r>
          <m:sSub>
            <m:e>
              <m:r>
                <m:t>θ</m:t>
              </m:r>
            </m:e>
            <m:sub>
              <m:r>
                <m:t>p</m:t>
              </m:r>
              <m:r>
                <m:t>r</m:t>
              </m:r>
              <m:r>
                <m:t>e</m:t>
              </m:r>
              <m:r>
                <m:t>d</m:t>
              </m:r>
            </m:sub>
          </m:sSub>
          <m:r>
            <m:t>−</m:t>
          </m:r>
          <m:sSub>
            <m:e>
              <m:r>
                <m:t>θ</m:t>
              </m:r>
            </m:e>
            <m:sub>
              <m:r>
                <m:t>g</m:t>
              </m:r>
              <m:r>
                <m:t>t</m:t>
              </m:r>
            </m:sub>
          </m:sSub>
          <m:r>
            <m:t>)</m:t>
          </m:r>
          <m:r>
            <m:t>)</m:t>
          </m:r>
        </m:oMath>
      </m:oMathPara>
    </w:p>
    <w:p w14:paraId="3238E029">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最终的总损失函数定义为各子任务损失的加权求和：</w:t>
      </w:r>
    </w:p>
    <w:p>
      <m:oMathPara>
        <m:oMathParaPr>
          <m:jc m:val="center"/>
        </m:oMathParaPr>
        <m:oMath>
          <m:r>
            <m:t>L</m:t>
          </m:r>
          <m:r>
            <m:t>=</m:t>
          </m:r>
          <m:sSub>
            <m:e>
              <m:r>
                <m:t>λ</m:t>
              </m:r>
            </m:e>
            <m:sub>
              <m:r>
                <m:t>c</m:t>
              </m:r>
              <m:r>
                <m:t>l</m:t>
              </m:r>
              <m:r>
                <m:t>s</m:t>
              </m:r>
            </m:sub>
          </m:sSub>
          <m:sSub>
            <m:e>
              <m:r>
                <m:t>L</m:t>
              </m:r>
            </m:e>
            <m:sub>
              <m:r>
                <m:t>c</m:t>
              </m:r>
              <m:r>
                <m:t>l</m:t>
              </m:r>
              <m:r>
                <m:t>s</m:t>
              </m:r>
            </m:sub>
          </m:sSub>
          <m:r>
            <m:t>+</m:t>
          </m:r>
          <m:sSub>
            <m:e>
              <m:r>
                <m:t>λ</m:t>
              </m:r>
            </m:e>
            <m:sub>
              <m:r>
                <m:t>r</m:t>
              </m:r>
              <m:r>
                <m:t>e</m:t>
              </m:r>
              <m:r>
                <m:t>g</m:t>
              </m:r>
            </m:sub>
          </m:sSub>
          <m:sSub>
            <m:e>
              <m:r>
                <m:t>L</m:t>
              </m:r>
            </m:e>
            <m:sub>
              <m:r>
                <m:t>r</m:t>
              </m:r>
              <m:r>
                <m:t>e</m:t>
              </m:r>
              <m:r>
                <m:t>g</m:t>
              </m:r>
            </m:sub>
          </m:sSub>
          <m:r>
            <m:t>+</m:t>
          </m:r>
          <m:sSub>
            <m:e>
              <m:r>
                <m:t>λ</m:t>
              </m:r>
            </m:e>
            <m:sub>
              <m:r>
                <m:t>d</m:t>
              </m:r>
              <m:r>
                <m:t>i</m:t>
              </m:r>
              <m:r>
                <m:t>r</m:t>
              </m:r>
            </m:sub>
          </m:sSub>
          <m:sSub>
            <m:e>
              <m:r>
                <m:t>L</m:t>
              </m:r>
            </m:e>
            <m:sub>
              <m:r>
                <m:t>d</m:t>
              </m:r>
              <m:r>
                <m:t>i</m:t>
              </m:r>
              <m:r>
                <m:t>r</m:t>
              </m:r>
            </m:sub>
          </m:sSub>
        </m:oMath>
      </m:oMathPara>
    </w:p>
    <w:p w14:paraId="4AFC518C">
      <w:pPr>
        <w:pStyle w:val="6"/>
        <w:widowControl/>
        <w:spacing w:before="0" w:beforeAutospacing="0" w:after="0" w:afterAutospacing="0" w:line="360" w:lineRule="auto"/>
        <w:ind w:firstLine="420"/>
        <w:jc w:val="both"/>
      </w:pPr>
    </w:p>
    <w:p w14:paraId="4CD13AB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rPr>
          <w:rFonts w:ascii="Times New Roman" w:hAnsi="Times New Roman" w:cs="Times New Roman" w:eastAsia="宋体;SimSun"/>
          <w:sz w:val="21"/>
          <w:szCs w:val="21"/>
        </w:rP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rPr>
          <w:rFonts w:ascii="Times New Roman" w:hAnsi="Times New Roman" w:cs="Times New Roman" w:eastAsia="宋体;SimSun"/>
          <w:sz w:val="21"/>
          <w:szCs w:val="21"/>
        </w:rP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rPr>
          <w:rFonts w:ascii="Times New Roman" w:hAnsi="Times New Roman" w:cs="Times New Roman" w:eastAsia="宋体;SimSun"/>
          <w:sz w:val="21"/>
          <w:szCs w:val="21"/>
        </w:rPr>
        <w:t xml:space="preserve"> 为各子任务的平衡权重。该损失函数能够引导 KAN 模块优先学习交通目标的几何骨架和道路空间位置关系。它能够提升复杂道路场景下三维框回归的稳定性。</w:t>
      </w:r>
    </w:p>
    <w:p w14:paraId="11C6EDBB">
      <w:pPr>
        <w:pStyle w:val="6"/>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2 实验结果与分析</w:t>
      </w:r>
    </w:p>
    <w:p w14:paraId="179AD197">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2.1 数据集与实验设置</w:t>
      </w:r>
    </w:p>
    <w:p w14:paraId="2967393E">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2.1.1 数据集介绍</w:t>
      </w:r>
    </w:p>
    <w:p w14:paraId="780BB984">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本文在 KITTI 3D 目标检测基准数据集</w:t>
      </w:r>
      <w:r>
        <w:rPr>
          <w:vertAlign w:val="superscript"/>
          <w:rFonts w:ascii="Times New Roman" w:hAnsi="Times New Roman" w:cs="Times New Roman" w:eastAsia="宋体;SimSun"/>
          <w:sz w:val="21"/>
          <w:szCs w:val="21"/>
        </w:rPr>
        <w:t>[14]</w:t>
      </w:r>
      <w:r>
        <w:rPr>
          <w:rFonts w:ascii="Times New Roman" w:hAnsi="Times New Roman" w:cs="Times New Roman" w:eastAsia="宋体;SimSun"/>
          <w:sz w:val="21"/>
          <w:szCs w:val="21"/>
        </w:rP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2.1.2 评价指标</w:t>
      </w:r>
    </w:p>
    <w:p w14:paraId="41191470">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本文采用平均精度（Mean Average Precision, mAP）作为核心评价指标。根据 KITTI 评价协议</w:t>
      </w:r>
      <w:r>
        <w:rPr>
          <w:rFonts w:ascii="Times New Roman" w:hAnsi="Times New Roman" w:cs="Times New Roman" w:eastAsia="宋体;SimSun"/>
          <w:sz w:val="21"/>
          <w:szCs w:val="21"/>
          <w:vertAlign w:val="superscript"/>
        </w:rPr>
        <w:t>[14]</w:t>
      </w:r>
      <w:r>
        <w:rPr>
          <w:rFonts w:ascii="Times New Roman" w:hAnsi="Times New Roman" w:cs="Times New Roman" w:eastAsia="宋体;SimSun"/>
          <w:sz w:val="21"/>
          <w:szCs w:val="21"/>
        </w:rPr>
        <w:t>，本文使用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vertAlign w:val="superscript"/>
          <w:rFonts w:ascii="Times New Roman" w:hAnsi="Times New Roman" w:cs="Times New Roman" w:eastAsia="宋体;SimSun"/>
          <w:sz w:val="21"/>
          <w:szCs w:val="21"/>
        </w:rPr>
        <w:t>[16-17]</w:t>
      </w:r>
      <w:r>
        <w:rPr>
          <w:rFonts w:ascii="Times New Roman" w:hAnsi="Times New Roman" w:cs="Times New Roman" w:eastAsia="宋体;SimSun"/>
          <w:sz w:val="21"/>
          <w:szCs w:val="21"/>
        </w:rPr>
        <w:t>。</w:t>
      </w:r>
    </w:p>
    <w:p w14:paraId="7A31DC2F">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2.1.3 实现细节</w:t>
      </w:r>
    </w:p>
    <w:p w14:paraId="65D8EC8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本文实验环境基于 Linux 操作系统，硬件配置采用 NVIDIA RTX 4090 GPU 与 Intel Core i9-13900K CPU。模型开发与训练基于 OpenPCDet 开源三维目标检测框架</w:t>
      </w:r>
      <w:r>
        <w:rPr>
          <w:vertAlign w:val="superscript"/>
          <w:rFonts w:ascii="Times New Roman" w:hAnsi="Times New Roman" w:cs="Times New Roman" w:eastAsia="宋体;SimSun"/>
          <w:sz w:val="21"/>
          <w:szCs w:val="21"/>
        </w:rPr>
        <w:t>[26]</w:t>
      </w:r>
      <w:r>
        <w:rPr>
          <w:rFonts w:ascii="Times New Roman" w:hAnsi="Times New Roman" w:cs="Times New Roman" w:eastAsia="宋体;SimSun"/>
          <w:sz w:val="21"/>
          <w:szCs w:val="21"/>
        </w:rPr>
        <w:t>。</w:t>
      </w:r>
    </w:p>
    <w:p w14:paraId="4DF822F5">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rFonts w:ascii="Times New Roman" w:hAnsi="Times New Roman" w:cs="Times New Roman" w:eastAsia="宋体;SimSun"/>
          <w:sz w:val="21"/>
          <w:szCs w:val="21"/>
          <w:vertAlign w:val="superscript"/>
        </w:rPr>
        <w:t xml:space="preserve">[27]</w:t>
      </w:r>
      <w:r>
        <w:rPr>
          <w:vertAlign w:val="superscript"/>
          <w:rFonts w:ascii="Times New Roman" w:hAnsi="Times New Roman" w:cs="Times New Roman" w:eastAsia="宋体;SimSun"/>
          <w:sz w:val="21"/>
          <w:szCs w:val="21"/>
        </w:rPr>
        <w:t xml:space="preserve"> </w:t>
      </w:r>
      <w:r>
        <w:rPr>
          <w:rFonts w:ascii="Times New Roman" w:hAnsi="Times New Roman" w:cs="Times New Roman" w:eastAsia="宋体;SimSun"/>
          <w:sz w:val="21"/>
          <w:szCs w:val="21"/>
        </w:rPr>
        <w:t>以加速收敛。模型共训练 80 个 Epoch。训练超参数和数据增强策略参考道路交通目标检测中的通用设置</w:t>
      </w:r>
      <w:r>
        <w:rPr>
          <w:vertAlign w:val="superscript"/>
          <w:rFonts w:ascii="Times New Roman" w:hAnsi="Times New Roman" w:cs="Times New Roman" w:eastAsia="宋体;SimSun"/>
          <w:sz w:val="21"/>
          <w:szCs w:val="21"/>
        </w:rPr>
        <w:t>[7-8,26]</w:t>
      </w:r>
      <w:r>
        <w:rPr>
          <w:rFonts w:ascii="Times New Roman" w:hAnsi="Times New Roman" w:cs="Times New Roman" w:eastAsia="宋体;SimSun"/>
          <w:sz w:val="21"/>
          <w:szCs w:val="21"/>
        </w:rPr>
        <w:t>。</w:t>
      </w:r>
    </w:p>
    <w:p w14:paraId="4361F841">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2.2 与主流算法的对比实验</w:t>
      </w:r>
    </w:p>
    <w:p w14:paraId="1391C618">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表 1 KITTI 验证集 3D 检测精度对比（%）</w:t>
      </w:r>
    </w:p>
    <w:p w14:paraId="63336463">
      <w:pPr>
        <w:jc w:val="center"/>
        <w:rPr>
          <w:rFonts w:ascii="Times New Roman" w:hAnsi="Times New Roman" w:cs="Times New Roman"/>
          <w:sz w:val="18"/>
          <w:szCs w:val="18"/>
        </w:rPr>
      </w:pPr>
      <w:r>
        <w:rPr>
          <w:rFonts w:ascii="Times New Roman" w:hAnsi="Times New Roman" w:cs="Times New Roman"/>
          <w:sz w:val="18"/>
          <w:szCs w:val="18"/>
        </w:rP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spacing w:before="0" w:after="0" w:line="240" w:lineRule="auto"/>
              <w:ind w:firstLine="0"/>
              <w:jc w:val="center"/>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35</w:t>
            </w:r>
          </w:p>
        </w:tc>
      </w:tr>
    </w:tbl>
    <w:p w14:paraId="5CBCB962">
      <w:pPr>
        <w:jc w:val="left"/>
        <w:rPr>
          <w:rFonts w:ascii="黑体;SimHei" w:hAnsi="黑体;SimHei" w:cs="黑体;SimHei" w:eastAsia="黑体;SimHei"/>
          <w:sz w:val="21"/>
          <w:szCs w:val="21"/>
        </w:rPr>
      </w:pPr>
      <w:r>
        <w:rPr>
          <w:rFonts w:ascii="黑体;SimHei" w:hAnsi="黑体;SimHei" w:cs="黑体;SimHei" w:eastAsia="黑体;SimHei"/>
          <w:sz w:val="21"/>
          <w:szCs w:val="21"/>
        </w:rPr>
        <w:t>2.3 私有数据集上的泛化验证实验</w:t>
      </w:r>
    </w:p>
    <w:p w14:paraId="69353DB1">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jc w:val="center"/>
        <w:rPr>
          <w:rFonts w:ascii="黑体;SimHei" w:hAnsi="黑体;SimHei" w:cs="黑体;SimHei" w:eastAsia="黑体;SimHei"/>
          <w:sz w:val="18"/>
          <w:szCs w:val="18"/>
        </w:rPr>
      </w:pPr>
      <w:r>
        <w:rPr>
          <w:rFonts w:ascii="黑体;SimHei" w:hAnsi="黑体;SimHei" w:cs="黑体;SimHei" w:eastAsia="黑体;SimHei"/>
          <w:sz w:val="18"/>
          <w:szCs w:val="18"/>
        </w:rP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jc w:val="center"/>
        <w:rPr>
          <w:rFonts w:ascii="黑体;SimHei" w:hAnsi="黑体;SimHei" w:cs="黑体;SimHei" w:eastAsia="黑体;SimHei"/>
          <w:sz w:val="18"/>
          <w:szCs w:val="18"/>
        </w:rPr>
      </w:pPr>
      <w:r>
        <w:rPr>
          <w:rFonts w:ascii="黑体;SimHei" w:hAnsi="黑体;SimHei" w:cs="黑体;SimHei" w:eastAsia="黑体;SimHei"/>
          <w:sz w:val="18"/>
          <w:szCs w:val="18"/>
        </w:rPr>
        <w:t>表 2 私有道路数据集 Box AP 对比（%）</w:t>
      </w:r>
    </w:p>
    <w:p w14:paraId="07737539">
      <w:pPr>
        <w:jc w:val="center"/>
        <w:rPr>
          <w:rFonts w:ascii="Times New Roman" w:hAnsi="Times New Roman" w:cs="Times New Roman"/>
          <w:sz w:val="18"/>
          <w:szCs w:val="18"/>
        </w:rPr>
      </w:pPr>
      <w:r>
        <w:rPr>
          <w:rFonts w:ascii="Times New Roman" w:hAnsi="Times New Roman" w:cs="Times New Roman"/>
          <w:sz w:val="18"/>
          <w:szCs w:val="18"/>
        </w:rP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42.76</w:t>
            </w:r>
          </w:p>
        </w:tc>
      </w:tr>
    </w:tbl>
    <w:p w14:paraId="1A63F2FC">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spacing w:before="0" w:after="0" w:line="360" w:lineRule="auto"/>
        <w:ind w:firstLine="420"/>
        <w:jc w:val="both"/>
      </w:pPr>
    </w:p>
    <w:p w14:paraId="7872FC89">
      <w:pPr>
        <w:keepNext/>
        <w:keepLines/>
        <w:spacing w:before="0" w:after="0" w:line="360" w:lineRule="auto"/>
        <w:ind w:firstLine="420"/>
        <w:jc w:val="center"/>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jc w:val="center"/>
        <w:rPr>
          <w:rFonts w:ascii="黑体;SimHei" w:hAnsi="黑体;SimHei" w:cs="黑体;SimHei" w:eastAsia="黑体;SimHei"/>
          <w:sz w:val="18"/>
          <w:szCs w:val="18"/>
        </w:rPr>
      </w:pPr>
      <w:r>
        <w:rPr>
          <w:rFonts w:ascii="黑体;SimHei" w:hAnsi="黑体;SimHei" w:cs="黑体;SimHei" w:eastAsia="黑体;SimHei"/>
          <w:sz w:val="18"/>
          <w:szCs w:val="18"/>
        </w:rPr>
        <w:t>图 4 私有道路数据集上不同方法的可视化检测结果对比</w:t>
      </w:r>
    </w:p>
    <w:p w14:paraId="05E4F2A7">
      <w:pPr>
        <w:jc w:val="center"/>
        <w:rPr>
          <w:rFonts w:ascii="Times New Roman" w:hAnsi="Times New Roman" w:cs="Times New Roman"/>
          <w:sz w:val="18"/>
          <w:szCs w:val="18"/>
        </w:rPr>
      </w:pPr>
      <w:r>
        <w:rPr>
          <w:rFonts w:ascii="Times New Roman" w:hAnsi="Times New Roman" w:cs="Times New Roman"/>
          <w:sz w:val="18"/>
          <w:szCs w:val="18"/>
        </w:rPr>
        <w:t>Fig. 4 Visualization comparison of different methods on the private road-scene dataset</w:t>
      </w:r>
    </w:p>
    <w:p w14:paraId="71CA874C">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注：白色点表示 LiDAR 点云，绿色三维边界框表示模型预测结果。</w:t>
      </w:r>
    </w:p>
    <w:p w14:paraId="4CC84D24">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2.4 消融实验分析</w:t>
      </w:r>
    </w:p>
    <w:p w14:paraId="3B44428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表 3 创新模块消融实验结果（%）</w:t>
      </w:r>
    </w:p>
    <w:p w14:paraId="53677767">
      <w:pPr>
        <w:jc w:val="center"/>
        <w:rPr>
          <w:rFonts w:ascii="Times New Roman" w:hAnsi="Times New Roman" w:cs="Times New Roman"/>
          <w:sz w:val="18"/>
          <w:szCs w:val="18"/>
        </w:rPr>
      </w:pPr>
      <w:r>
        <w:rPr>
          <w:rFonts w:ascii="Times New Roman" w:hAnsi="Times New Roman" w:cs="Times New Roman"/>
          <w:sz w:val="18"/>
          <w:szCs w:val="18"/>
        </w:rP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jc w:val="center"/>
              <w:rPr>
                <w:rFonts w:ascii="Times New Roman" w:hAnsi="Times New Roman" w:cs="Times New Roman" w:eastAsia="宋体;SimSun"/>
                <w:sz w:val="18"/>
                <w:szCs w:val="18"/>
              </w:rPr>
            </w:pPr>
            <w:r>
              <w:rPr>
                <w:bCs/>
                <w:lang w:val="en-US" w:eastAsia="zh-CN"/>
                <w:rFonts w:ascii="Times New Roman" w:hAnsi="Times New Roman" w:cs="Times New Roman" w:eastAsia="宋体;SimSun"/>
                <w:sz w:val="18"/>
                <w:szCs w:val="18"/>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jc w:val="center"/>
              <w:rPr>
                <w:rFonts w:ascii="Times New Roman" w:hAnsi="Times New Roman" w:cs="Times New Roman" w:eastAsia="宋体;SimSun"/>
                <w:sz w:val="18"/>
                <w:szCs w:val="18"/>
              </w:rPr>
            </w:pPr>
            <w:r>
              <w:rPr>
                <w:lang w:val="en-US" w:eastAsia="zh-CN"/>
                <w:rFonts w:ascii="Times New Roman" w:hAnsi="Times New Roman" w:cs="Times New Roman" w:eastAsia="宋体;SimSun"/>
                <w:sz w:val="18"/>
                <w:szCs w:val="18"/>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73.55</w:t>
            </w:r>
          </w:p>
        </w:tc>
      </w:tr>
    </w:tbl>
    <w:p w14:paraId="2608D3FF">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2.5 模型效率分析</w:t>
      </w:r>
    </w:p>
    <w:p w14:paraId="3BB99FA6">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表 4 模型复杂度与参数效能对比</w:t>
      </w:r>
    </w:p>
    <w:p w14:paraId="4146E86D">
      <w:pPr>
        <w:jc w:val="center"/>
        <w:rPr>
          <w:rFonts w:ascii="Times New Roman" w:hAnsi="Times New Roman" w:cs="Times New Roman"/>
          <w:sz w:val="18"/>
          <w:szCs w:val="18"/>
        </w:rPr>
      </w:pPr>
      <w:r>
        <w:rPr>
          <w:rFonts w:ascii="Times New Roman" w:hAnsi="Times New Roman" w:cs="Times New Roman"/>
          <w:sz w:val="18"/>
          <w:szCs w:val="18"/>
        </w:rP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jc w:val="center"/>
              <w:rPr>
                <w:rFonts w:ascii="Times New Roman" w:hAnsi="Times New Roman" w:cs="Times New Roman" w:eastAsia="宋体;SimSun"/>
                <w:sz w:val="18"/>
                <w:szCs w:val="18"/>
              </w:rPr>
            </w:pPr>
            <w:r>
              <w:rPr>
                <w:kern w:val="0"/>
                <w:lang w:bidi="ar"/>
                <w:rFonts w:ascii="Times New Roman" w:hAnsi="Times New Roman" w:cs="Times New Roman" w:eastAsia="宋体;SimSun"/>
                <w:sz w:val="18"/>
                <w:szCs w:val="18"/>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jc w:val="center"/>
              <w:rPr>
                <w:rFonts w:ascii="Times New Roman" w:hAnsi="Times New Roman" w:cs="Times New Roman" w:eastAsia="宋体;SimSun"/>
                <w:sz w:val="18"/>
                <w:szCs w:val="18"/>
              </w:rPr>
            </w:pPr>
            <w:r>
              <w:rPr>
                <w:bCs/>
                <w:kern w:val="0"/>
                <w:lang w:bidi="ar"/>
                <w:rFonts w:ascii="Times New Roman" w:hAnsi="Times New Roman" w:cs="Times New Roman" w:eastAsia="宋体;SimSun"/>
                <w:sz w:val="18"/>
                <w:szCs w:val="18"/>
              </w:rPr>
              <w:t>20.70</w:t>
            </w:r>
          </w:p>
        </w:tc>
      </w:tr>
    </w:tbl>
    <w:p w14:paraId="481467ED">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2.6 可视化检测结果分析</w:t>
      </w:r>
    </w:p>
    <w:p w14:paraId="51E3C531">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为了验证 Point-KAN-3D 在实际道路交通场景中的检测效果，本文从 BEV 全局感知、远距离交通目标识别和模型可解释性三个方面进行可视化分析。</w:t>
      </w:r>
    </w:p>
    <w:p w14:paraId="1D83FE27">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2.6.1 多维对比与困难交通样本分析</w:t>
      </w:r>
    </w:p>
    <w:p w14:paraId="6BB9DA2F">
      <w:pPr>
        <w:pStyle w:val="6"/>
        <w:jc w:val="center"/>
        <w:rPr>
          <w:rFonts w:ascii="黑体;SimHei" w:hAnsi="黑体;SimHei" w:cs="黑体;SimHei" w:eastAsia="黑体;SimHei"/>
          <w:sz w:val="18"/>
          <w:szCs w:val="18"/>
        </w:rPr>
      </w:pPr>
      <w:r>
        <w:rPr>
          <w:rFonts w:ascii="黑体;SimHei" w:hAnsi="黑体;SimHei" w:cs="黑体;SimHei" w:eastAsia="黑体;SimHei"/>
          <w:sz w:val="18"/>
          <w:szCs w:val="18"/>
        </w:rP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jc w:val="left"/>
        <w:rPr>
          <w:rFonts w:ascii="黑体;SimHei" w:hAnsi="黑体;SimHei" w:cs="黑体;SimHei" w:eastAsia="黑体;SimHei"/>
          <w:sz w:val="21"/>
          <w:szCs w:val="21"/>
        </w:rPr>
      </w:pPr>
      <w:r>
        <w:rPr>
          <w:rFonts w:ascii="黑体;SimHei" w:hAnsi="黑体;SimHei" w:cs="黑体;SimHei" w:eastAsia="黑体;SimHei"/>
          <w:sz w:val="21"/>
          <w:szCs w:val="21"/>
        </w:rPr>
        <w:t>2.6.2 KAN 架构可解释性分析</w:t>
      </w:r>
    </w:p>
    <w:p w14:paraId="1B91F2F1">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spacing w:before="0" w:beforeAutospacing="0" w:after="0" w:afterAutospacing="0" w:line="360" w:lineRule="auto"/>
        <w:ind w:firstLine="420"/>
        <w:jc w:val="both"/>
        <w:rPr>
          <w:rFonts w:hint="eastAsia" w:eastAsia="宋体"/>
          <w:lang w:eastAsia="zh-CN"/>
        </w:rPr>
      </w:pPr>
    </w:p>
    <w:p w14:paraId="54FA8DC2">
      <w:pPr>
        <w:pStyle w:val="6"/>
        <w:keepNext w:val="0"/>
        <w:keepLines w:val="0"/>
        <w:widowControl/>
        <w:spacing w:before="0" w:beforeAutospacing="0" w:after="0" w:afterAutospacing="0" w:line="360" w:lineRule="auto"/>
        <w:jc w:val="both"/>
        <w:rPr>
          <w:rFonts w:hint="eastAsia" w:eastAsia="宋体"/>
          <w:lang w:eastAsia="zh-CN"/>
        </w:rPr>
      </w:pPr>
      <w:bookmarkStart w:id="0" w:name="_GoBack"/>
      <w:r>
        <w:rPr>
          <w:rFonts w:hint="eastAsia" w:eastAsia="宋体"/>
          <w:lang w:eastAsia="zh-CN"/>
        </w:rPr>
        <w:drawing>
          <wp:inline distT="0" distB="0" distL="114300" distR="114300">
            <wp:extent cx="6255385" cy="40443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jc w:val="center"/>
        <w:rPr>
          <w:rFonts w:ascii="黑体;SimHei" w:hAnsi="黑体;SimHei" w:cs="黑体;SimHei" w:eastAsia="黑体;SimHei"/>
          <w:sz w:val="18"/>
          <w:szCs w:val="18"/>
        </w:rPr>
      </w:pPr>
      <w:r>
        <w:rPr>
          <w:bCs/>
          <w:rFonts w:ascii="黑体;SimHei" w:hAnsi="黑体;SimHei" w:cs="黑体;SimHei" w:eastAsia="黑体;SimHei"/>
          <w:sz w:val="18"/>
          <w:szCs w:val="18"/>
        </w:rPr>
        <w:t>图 5 Point-KAN-3D 算法与基准模型在道路交通场景中的可视化对比</w:t>
      </w:r>
    </w:p>
    <w:p w14:paraId="1C2FC55F">
      <w:pPr>
        <w:pStyle w:val="6"/>
        <w:jc w:val="center"/>
        <w:rPr>
          <w:rFonts w:ascii="Times New Roman" w:hAnsi="Times New Roman" w:cs="Times New Roman"/>
          <w:sz w:val="18"/>
          <w:szCs w:val="18"/>
        </w:rPr>
      </w:pPr>
      <w:r>
        <w:rPr>
          <w:rFonts w:ascii="Times New Roman" w:hAnsi="Times New Roman" w:cs="Times New Roman"/>
          <w:sz w:val="18"/>
          <w:szCs w:val="18"/>
        </w:rPr>
        <w:t>Fig. 5 Visual comparison between Point-KAN-3D and the baseline model in road traffic scenes</w:t>
      </w:r>
    </w:p>
    <w:p w14:paraId="54067FFA">
      <w:pPr>
        <w:pStyle w:val="6"/>
        <w:spacing w:line="220" w:lineRule="exact"/>
        <w:jc w:val="left"/>
        <w:rPr>
          <w:rFonts w:ascii="黑体;SimHei" w:hAnsi="黑体;SimHei" w:cs="黑体;SimHei" w:eastAsia="黑体;SimHei"/>
          <w:sz w:val="28"/>
          <w:szCs w:val="28"/>
        </w:rPr>
      </w:pPr>
      <w:r>
        <w:rPr>
          <w:rFonts w:ascii="黑体;SimHei" w:hAnsi="黑体;SimHei" w:cs="黑体;SimHei" w:eastAsia="黑体;SimHei"/>
          <w:sz w:val="28"/>
          <w:szCs w:val="28"/>
        </w:rPr>
        <w:t>3 结论</w:t>
      </w:r>
    </w:p>
    <w:p w14:paraId="18688C3D">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2）研究结果表明：</w:t>
      </w:r>
    </w:p>
    <w:p w14:paraId="7F89CDB3">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3）在交通目标特征表达方面，Point-KAN 模块能够刻画车辆边界、行人轮廓和骑行者形态等局部几何信息。它能够增强模型对弱几何交通参与者的感知能力。</w:t>
      </w:r>
    </w:p>
    <w:p w14:paraId="64A5487B">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4）在道路空间表征方面，Sparse KAN-Voxel 编码器利用样条函数的平滑性补偿远距离点云特征断裂。它能够提升大尺度道路空间中的目标定位稳定性。</w:t>
      </w:r>
    </w:p>
    <w:p w14:paraId="33DA8BA6">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5）在车载部署效率方面，KAN 架构提高了参数利用率。本文模型在较小参数规模下保持了较高检测精度。它实现了精度、实时性和复杂度之间的较好平衡。</w:t>
      </w:r>
    </w:p>
    <w:p w14:paraId="622C2789">
      <w:pPr>
        <w:pStyle w:val="6"/>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6）私有道路数据集的定量结果和可视化结果进一步表明，在本文实验设置下，本文方法在复杂道路结构、路侧背景干扰和稀疏点云目标中具有较稳定的三维边界框定位能力。Point-KAN-3D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jc w:val="left"/>
        <w:rPr>
          <w:rFonts w:ascii="黑体;SimHei" w:hAnsi="黑体;SimHei" w:cs="黑体;SimHei" w:eastAsia="黑体;SimHei"/>
          <w:sz w:val="21"/>
          <w:szCs w:val="21"/>
          <w:b/>
        </w:rPr>
      </w:pPr>
      <w:r>
        <w:rPr>
          <w:rFonts w:ascii="黑体;SimHei" w:hAnsi="黑体;SimHei" w:cs="黑体;SimHei" w:eastAsia="黑体;SimHei"/>
          <w:sz w:val="21"/>
          <w:szCs w:val="21"/>
          <w:b/>
        </w:rPr>
        <w:t>参考文献</w:t>
      </w:r>
    </w:p>
    <w:p w14:paraId="3513C903">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 陈龙, 曹东璞, 汪若尘. 自动驾驶环境感知技术研究进展与展望[J]. 自动化学报, 2021, 47(10): 2291-2305.</w:t>
      </w:r>
    </w:p>
    <w:p w14:paraId="5A848AAA">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CHEN Long, CAO Dongpu, WANG Ruochen. Research progress and prospects of environmental perception technology for autonomous driving[J]. Acta Automatica Sinica, 2021, 47(10): 2291-2305. (in Chinese)</w:t>
      </w:r>
    </w:p>
    <w:p w14:paraId="037C3C86">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 孙锐, 丁晓, 高盛强, 等. 自动驾驶场景下三维目标检测技术综述[J]. 软件学报, 2022, 33(11): 4118-4146.</w:t>
      </w:r>
    </w:p>
    <w:p w14:paraId="788FFD53">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SUN Rui, DING Xiao, GAO Shengqiang, et al. A review of three-dimensional object detection technology in autonomous driving scenes[J]. Journal of Software, 2022, 33(11): 4118-4146. (in Chinese)</w:t>
      </w:r>
    </w:p>
    <w:p w14:paraId="725217A0">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[3] ARNOLD E, AL-JARRAH O Y, DIANATI M, FALLAH S, OXTOBY D, MOUZAKITIS A. A survey on 3D object detection methods for autonomous driving applications[J]. IEEE Transactions on Intelligent Transportation Systems, 2019, 20(10): 3782-3795.</w:t>
      </w:r>
    </w:p>
    <w:p w14:paraId="52A08CDC">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[4] 李杰, 赵建辉, 潘勇. 复杂环境下智能车辆环境感知关键技术分析[J]. 机械工程学报, 2023, 59(12): 185-201.</w:t>
      </w:r>
    </w:p>
    <w:p w14:paraId="339B089F">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LI Jie, ZHAO Jianhui, PAN Yong. Analysis of key environmental perception technologies for intelligent vehicles in complex environments[J]. Journal of Mechanical Engineering, 2023, 59(12): 185-201. (in Chinese)</w:t>
      </w:r>
    </w:p>
    <w:p w14:paraId="2D4D4B14">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[5] QI C R, SU H, MO K, et al. PointNet: Deep learning on point sets for 3D classification and segmentation[C]//Proc of the IEEE Conf on Computer Vision and Pattern Recognition. 2017: 652-660.</w:t>
      </w:r>
    </w:p>
    <w:p w14:paraId="6479424D">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[6] 王宇航, 郭裕兰, 宁纪锋, 等. 深度学习在三维点云处理中的应用综述[J]. 计算机学报, 2024, 47(2): 315-342.</w:t>
      </w:r>
    </w:p>
    <w:p w14:paraId="20F81B54">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WANG Yuhang, GUO Yulan, NING Jifeng, et al. A review of deep learning applications in three-dimensional point cloud processing[J]. Chinese Journal of Computers, 2024, 47(2): 315-342. (in Chinese)</w:t>
      </w:r>
    </w:p>
    <w:p w14:paraId="091310FB">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[7] LANG A H, VORA S, CAESAR H, et al. PointPillars: Fast encoders for object detection from point clouds[C]//Proc of the IEEE/CVF Conf on Computer Vision and Pattern Recognition. 2019: 12697-12705.</w:t>
      </w:r>
    </w:p>
    <w:p w14:paraId="3C8E55CA">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[8] YAN Y, MAO Y, LI B. SECOND: Sparsely embedded convolutional detection[J]. Sensors, 2018, 18(10): 3337.</w:t>
      </w:r>
    </w:p>
    <w:p w14:paraId="1A3B5217">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[9] SHI S, GUO Z, JIANG L, et al. PV-RCNN: Point-voxel feature set abstraction for 3D object detection[C]//Proc of the IEEE/CVF Conf on Computer Vision and Pattern Recognition. 2020: 10529-10538.</w:t>
      </w:r>
    </w:p>
    <w:p w14:paraId="2812A2E2">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[10] YIN T, ZHOU X, KRAHENBUHL P. Center-based 3D object detection and tracking[C]//Proc of the IEEE/CVF Conf on Computer Vision and Pattern Recognition. 2021: 11784-11793.</w:t>
      </w:r>
    </w:p>
    <w:p w14:paraId="5174B09F">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[11] VASWANI A, SHAZEER N, PARMAR N, et al. Attention is all you need[C]//Proc of the 31st International Conf on Neural Information Processing Systems. 2017: 5998-6008.</w:t>
      </w:r>
    </w:p>
    <w:p w14:paraId="32B4FBB0">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[12] MISRA I, GIRDHAR R, JOULIN A. An end-to-end transformer model for 3D object detection[C]//Proc of the IEEE/CVF International Conf on Computer Vision. 2021: 2906-2917.</w:t>
      </w:r>
    </w:p>
    <w:p w14:paraId="31BF0A7A">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[13] 胡钊政, 李杰, 郑顺林, 等. 复杂场景下三维目标检测的研究进展[J]. 中国图象图形学报, 2022, 27(6): 1655-1678.</w:t>
      </w:r>
    </w:p>
    <w:p w14:paraId="5D025C89">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HU Zhaozheng, LI Jie, ZHENG Shunlin, et al. Research progress of three-dimensional object detection in complex scenes[J]. Journal of Image and Graphics, 2022, 27(6): 1655-1678. (in Chinese)</w:t>
      </w:r>
    </w:p>
    <w:p w14:paraId="297228A5">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[14] GEIGER A, LENZ P, URTASUN R. Are we ready for autonomous driving? The KITTI vision benchmark suite[C]//Proc of the IEEE Conf on Computer Vision and Pattern Recognition. 2012: 3354-3361.</w:t>
      </w:r>
    </w:p>
    <w:p w14:paraId="22D2DA5B">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[15] LIU Z, WANG Y, VAIDYA S, RUEHLE F, HALVERSON J, SOLJACIC M, et al. KAN: Kolmogorov-Arnold Networks[EB/OL]. arXiv:2404.19756, 2024.</w:t>
      </w:r>
    </w:p>
    <w:p w14:paraId="7A23E673">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[16] DENG J, SHI S, LI P, et al. Voxel R-CNN: Towards high performance voxel-based 3D object detection[C]//Proc of the AAAI Conf on Artificial Intelligence. 2021: 1201-1209.</w:t>
      </w:r>
    </w:p>
    <w:p w14:paraId="1FD5E5F7">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[17] YANG Z, SUN Y, LIU S, JIA J. 3DSSD: Point-based 3D single stage object detector[C]//Proc of the IEEE/CVF Conf on Computer Vision and Pattern Recognition. 2020: 11040-11048.</w:t>
      </w:r>
    </w:p>
    <w:p w14:paraId="6E354CDD">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[18] KOLMOGOROV A N. On the representation of continuous functions of many variables by superposition of continuous functions of one variable and addition[J]. Doklady Akademii Nauk SSSR, 1957, 114(5): 953-956.</w:t>
      </w:r>
    </w:p>
    <w:p w14:paraId="2D93748A">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[19] BRESSON R, NIKOLENTZOS G, PANAGOPOULOS G, CHATZIANASTASIS M, PANG J, VAZIRGIANNIS M. KAGNNs: Kolmogorov-Arnold Networks meet graph learning[EB/OL]. arXiv preprint arXiv:2406.18380, 2024.</w:t>
      </w:r>
    </w:p>
    <w:p w14:paraId="58A86A25">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[20] LIVIERIS I E. C-KAN: A new approach for integrating convolutional layers with Kolmogorov-Arnold Networks for time-series forecasting[J]. Mathematics, 2024, 12(19): 3022.</w:t>
      </w:r>
    </w:p>
    <w:p w14:paraId="3370EF25">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[21] FIRSOV N, MYASNIKOV E, LOBANOV V, KHABIBULLIN R, KAZANSKIY N, KHONINA S, et al. HyperKAN: Kolmogorov-Arnold Networks make hyperspectral image classifiers smarter[J]. Sensors, 2024, 24(23): 7683.</w:t>
      </w:r>
    </w:p>
    <w:p w14:paraId="7F39F5FF">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[22] WU W, QI Z, LI F. PointConv: Deep convolutional networks on 3D point clouds[C]//Proc of the IEEE/CVF Conf on Computer Vision and Pattern Recognition. 2019: 9621-9630.</w:t>
      </w:r>
    </w:p>
    <w:p w14:paraId="630EDCCD">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[23] PIEGL L, TILLER W. The NURBS book[M]. 2nd Edition. New York: Springer, 1997: 81-120.</w:t>
      </w:r>
    </w:p>
    <w:p w14:paraId="37CA8D19">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[24] QI C R, YI L, SU H, GUIBAS L J. PointNet++: Deep hierarchical feature learning on point sets in a metric space[C]//Advances in Neural Information Processing Systems. 2017: 5099-5108.</w:t>
      </w:r>
    </w:p>
    <w:p w14:paraId="167010EF">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[25] ZHOU Y, TUZEL O. VoxelNet: End-to-end learning for point cloud based 3D object detection[C]//Proc of the IEEE Conf on Computer Vision and Pattern Recognition. 2018: 4490-4499.</w:t>
      </w:r>
    </w:p>
    <w:p w14:paraId="2CA116DE">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[26] OPENPCDET DEVELOPMENT TEAM. OpenPCDet: An open-source toolbox for 3D object detection from point clouds[EB/OL]. (2020)[2024-05-10]. https://github.com/open-mmlab/OpenPCDet.</w:t>
      </w:r>
    </w:p>
    <w:p w14:paraId="3C4CB756">
      <w:p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basedOn w:val="Normal"/>
    <w:pPr>
      <w:spacing w:before="170" w:after="170" w:line="314" w:lineRule="exact"/>
    </w:pPr>
    <w:rPr>
      <w:rFonts w:ascii="宋体;SimSun" w:hAnsi="宋体;SimSun" w:cs="宋体;SimSun"/>
    </w:rPr>
  </w:style>
  <w:style w:type="paragraph" w:styleId="2">
    <w:basedOn w:val="11"/>
    <w:pPr>
      <w:spacing w:after="0" w:before="0"/>
    </w:pPr>
    <w:rPr>
      <w:rFonts w:ascii="黑体;SimHei" w:hAnsi="黑体;SimHei" w:cs="黑体;SimHei" w:eastAsia="黑体;SimHei"/>
      <w:sz w:val="21"/>
      <w:b/>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basedOn w:val="Normal"/>
    <w:next w:val="Normal"/>
    <w:pPr>
      <w:ind w:left="1260" w:hanging="0"/>
    </w:pPr>
  </w:style>
  <w:style w:type="paragraph" w:styleId="5">
    <w:basedOn w:val="Normal"/>
    <w:next w:val="Normal"/>
    <w:pPr>
      <w:ind w:left="1680" w:hanging="0"/>
    </w:pPr>
  </w:style>
  <w:style w:type="paragraph" w:default="1" w:styleId="8">
    <w:basedOn w:val="Normal"/>
    <w:next w:val="Normal"/>
    <w:pPr>
      <w:ind w:left="2940" w:hanging="0"/>
    </w:pPr>
  </w:style>
  <w:style w:type="paragraph" w:default="1" w:styleId="7">
    <w:basedOn w:val="Normal"/>
    <w:next w:val="Normal"/>
    <w:pPr>
      <w:ind w:left="2520" w:hanging="0"/>
    </w:pPr>
  </w:style>
  <w:style w:type="paragraph" w:styleId="6">
    <w:basedOn w:val="Normal"/>
    <w:next w:val="Normal"/>
    <w:pPr>
      <w:ind w:left="2100" w:hanging="0"/>
    </w:pPr>
  </w:style>
  <w:style w:type="paragraph" w:styleId="9">
    <w:basedOn w:val="Normal"/>
    <w:next w:val="Normal"/>
    <w:pPr>
      <w:ind w:left="3360" w:hanging="0"/>
    </w:pPr>
  </w:style>
  <w:style w:type="character" w:styleId="10">
    <w:name w:val="Hyperlink"/>
    <w:basedOn w:val="8"/>
    <w:qFormat/>
    <w:uiPriority w:val="0"/>
    <w:rPr>
      <w:color w:val="0000FF"/>
      <w:u w:val="single"/>
    </w:rPr>
  </w:style>
  <w:style w:type="paragraph" w:customStyle="1" w:styleId="11">
    <w:basedOn w:val="1"/>
    <w:pPr>
      <w:spacing w:line="220" w:lineRule="exact"/>
    </w:pPr>
    <w:rPr>
      <w:rFonts w:ascii="黑体;SimHei" w:hAnsi="黑体;SimHei" w:cs="黑体;SimHei" w:eastAsia="黑体;SimHei"/>
      <w:sz w:val="28"/>
    </w:rPr>
  </w:style>
  <w:style w:type="paragraph" w:styleId="Normal">
    <w:pPr>
      <w:widowControl/>
      <w:spacing w:line="276" w:lineRule="auto"/>
    </w:pPr>
    <w:rPr>
      <w:rFonts w:ascii="Times New Roman" w:hAnsi="Times New Roman" w:cs="Times New Roman" w:eastAsia="宋体;SimSun"/>
      <w:sz w:val="21"/>
      <w:szCs w:val="21"/>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eastAsia="黑体;SimHei"/>
      <w:sz w:val="42"/>
    </w:rPr>
  </w:style>
  <w:style w:type="paragraph" w:styleId="TextBody">
    <w:basedOn w:val="Normal"/>
    <w:pPr>
      <w:spacing w:before="0" w:after="140" w:line="276" w:lineRule="auto"/>
    </w:pPr>
  </w:style>
  <w:style w:type="paragraph" w:styleId="List">
    <w:basedOn w:val="TextBody"/>
  </w:style>
  <w:style w:type="paragraph" w:styleId="Caption">
    <w:basedOn w:val="Normal"/>
    <w:pPr>
      <w:spacing w:before="120" w:after="120"/>
    </w:pPr>
    <w:rPr>
      <w:sz w:val="24"/>
      <w:szCs w:val="24"/>
      <w:i/>
    </w:rPr>
  </w:style>
  <w:style w:type="paragraph" w:styleId="Index">
    <w:basedOn w:val="Normal"/>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jc w:val="center"/>
    </w:pPr>
    <w:rPr>
      <w:rFonts w:ascii="楷体_GB2312;楷体" w:hAnsi="楷体_GB2312;楷体" w:cs="楷体_GB2312;楷体" w:eastAsia="楷体_GB2312;楷体"/>
      <w:sz w:val="21"/>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atLeast"/>
      <w:ind w:left="425" w:right="425" w:hanging="0"/>
    </w:pPr>
    <w:rPr>
      <w:sz w:val="21"/>
    </w:rPr>
  </w:style>
  <w:style w:type="paragraph" w:styleId="Style24">
    <w:basedOn w:val="Normal"/>
    <w:pPr>
      <w:spacing w:line="300" w:lineRule="exact"/>
      <w:ind w:left="425" w:right="425" w:hanging="0"/>
      <w:jc w:val="both"/>
    </w:pPr>
    <w:rPr>
      <w:sz w:val="21"/>
    </w:rPr>
  </w:style>
  <w:style w:type="paragraph" w:styleId="Style25">
    <w:basedOn w:val="Style21"/>
    <w:rPr>
      <w:sz w:val="21"/>
    </w:rPr>
  </w:style>
  <w:style w:type="paragraph" w:styleId="Style26">
    <w:basedOn w:val="Normal"/>
    <w:pPr>
      <w:spacing w:line="300" w:lineRule="exact"/>
      <w:ind w:left="425" w:right="425" w:hanging="0"/>
      <w:jc w:val="center"/>
    </w:pPr>
    <w:rPr>
      <w:rFonts w:ascii="宋体;SimSun" w:hAnsi="宋体;SimSun" w:cs="宋体;SimSun"/>
      <w:sz w:val="21"/>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ind w:firstLine="420"/>
    </w:pPr>
    <w:rPr>
      <w:rFonts w:ascii="Times New Roman" w:hAnsi="Times New Roman" w:cs="Times New Roman"/>
      <w:sz w:val="21"/>
    </w:rPr>
  </w:style>
  <w:style w:type="paragraph" w:styleId="Style30">
    <w:basedOn w:val="Style29"/>
    <w:pPr>
      <w:jc w:val="center"/>
    </w:pPr>
    <w:rPr>
      <w:rFonts w:ascii="黑体;SimHei" w:hAnsi="黑体;SimHei" w:cs="黑体;SimHei" w:eastAsia="黑体;SimHei"/>
      <w:sz w:val="18"/>
      <w:b/>
    </w:rPr>
  </w:style>
  <w:style w:type="paragraph" w:styleId="Style31">
    <w:basedOn w:val="Style29"/>
    <w:pPr>
      <w:jc w:val="center"/>
    </w:pPr>
    <w:rPr>
      <w:sz w:val="15"/>
    </w:rPr>
  </w:style>
  <w:style w:type="paragraph" w:styleId="Style32">
    <w:basedOn w:val="Style29"/>
    <w:pPr>
      <w:ind w:hanging="0" w:left="1260"/>
      <w:jc w:val="left"/>
    </w:pPr>
    <w:rPr>
      <w:rFonts w:ascii="黑体;SimHei" w:hAnsi="黑体;SimHei" w:cs="黑体;SimHei" w:eastAsia="黑体;SimHei"/>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pPr>
      <w:spacing w:line="360" w:lineRule="auto"/>
      <w:jc w:val="both"/>
    </w:pPr>
    <w:rPr>
      <w:rFonts w:eastAsia="幼圆"/>
      <w:sz w:val="21"/>
      <w:szCs w:val="21"/>
    </w:rPr>
  </w:style>
  <w:style w:type="paragraph" w:styleId="21">
    <w:basedOn w:val="Normal"/>
    <w:pPr>
      <w:ind w:left="420" w:hanging="0"/>
      <w:jc w:val="both"/>
    </w:pPr>
    <w:rPr>
      <w:sz w:val="18"/>
      <w:szCs w:val="24"/>
      <w:spacing w:val="8"/>
    </w:rPr>
  </w:style>
  <w:style w:type="paragraph" w:styleId="Style34">
    <w:basedOn w:val="Normal"/>
    <w:pPr>
      <w:widowControl/>
      <w:spacing w:before="0" w:after="0" w:line="360" w:lineRule="auto"/>
      <w:ind w:hanging="0" w:right="851"/>
      <w:outlineLvl w:val="0"/>
    </w:pPr>
    <w:rPr>
      <w:rFonts w:ascii="宋体;SimSun" w:hAnsi="宋体;SimSun" w:cs="宋体;SimSun"/>
      <w:sz w:val="21"/>
      <w:szCs w:val="21"/>
    </w:rPr>
  </w:style>
  <w:style w:type="paragraph" w:styleId="Style35">
    <w:basedOn w:val="Normal"/>
    <w:next w:val="Normal"/>
    <w:pPr>
      <w:ind w:left="100" w:hanging="0"/>
    </w:pPr>
    <w:rPr>
      <w:rFonts w:ascii="宋体;SimSun" w:hAnsi="宋体;SimSun" w:cs="宋体;SimSun"/>
      <w:sz w:val="21"/>
    </w:rPr>
  </w:style>
  <w:style w:type="paragraph" w:styleId="Style36">
    <w:basedOn w:val="Normal"/>
    <w:pPr>
      <w:spacing w:line="276" w:lineRule="auto"/>
      <w:ind w:firstLine="420"/>
      <w:jc w:val="both"/>
    </w:pPr>
    <w:rPr>
      <w:rFonts w:ascii="Times New Roman" w:hAnsi="Times New Roman" w:cs="Times New Roman" w:eastAsia="宋体;SimSun"/>
      <w:sz w:val="21"/>
      <w:szCs w:val="21"/>
      <w:color w:val="FF0000"/>
    </w:rPr>
  </w:style>
  <w:style w:type="paragraph" w:styleId="TableContents">
    <w:basedOn w:val="Normal"/>
    <w:pPr>
      <w:widowControl/>
    </w:pPr>
  </w:style>
  <w:style w:type="paragraph" w:styleId="TableHeading">
    <w:basedOn w:val="TableContents"/>
    <w:pPr>
      <w:jc w:val="center"/>
    </w:pPr>
    <w:rPr>
      <w:b/>
    </w:rPr>
  </w:style>
  <w:style w:type="character" w:styleId="WW8Num1z0"/>
  <w:style w:type="character" w:styleId="WW8Num4z0"/>
  <w:style w:type="character" w:styleId="WW8Num7z0"/>
  <w:style w:type="character" w:styleId="WW8Num9z0"/>
  <w:style w:type="character" w:styleId="Style13"/>
  <w:style w:type="character" w:styleId="PageNumber">
    <w:basedOn w:val="Style13"/>
  </w:style>
  <w:style w:type="character" w:styleId="Style14">
    <w:rPr>
      <w:sz w:val="21"/>
    </w:rPr>
  </w:style>
  <w:style w:type="character" w:styleId="FootnoteCharacters"/>
  <w:style w:type="character" w:styleId="Char">
    <w:rPr>
      <w:sz w:val="18"/>
    </w:rPr>
  </w:style>
  <w:style w:type="character" w:styleId="Char1">
    <w:rPr>
      <w:sz w:val="18"/>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