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spacing w:before="0" w:after="0" w:line="360" w:lineRule="auto"/>
        <w:ind w:firstLine="0"/>
        <w:jc w:val="center"/>
      </w:pPr>
      <w:r>
        <w:rPr>
          <w:rFonts w:ascii="Times New Roman" w:hAnsi="Times New Roman" w:eastAsia="宋体" w:cs="Times New Roman"/>
          <w:b/>
          <w:sz w:val="28"/>
        </w:rPr>
        <w:t>道路交通场景双级样条网络三维目标检测</w:t>
      </w:r>
    </w:p>
    <w:p w14:paraId="55B33BCF">
      <w:pPr>
        <w:keepNext w:val="0"/>
        <w:keepLines w:val="0"/>
        <w:spacing w:before="0" w:after="0" w:line="360" w:lineRule="auto"/>
        <w:ind w:firstLine="0"/>
        <w:jc w:val="center"/>
      </w:pPr>
      <w:r>
        <w:rPr>
          <w:rFonts w:ascii="Times New Roman" w:hAnsi="Times New Roman" w:eastAsia="宋体" w:cs="Times New Roman"/>
          <w:b w:val="0"/>
          <w:sz w:val="21"/>
        </w:rPr>
        <w:t>作者姓名1，作者姓名2，作者姓名3</w:t>
      </w:r>
    </w:p>
    <w:p w14:paraId="1DF21543">
      <w:pPr>
        <w:keepNext w:val="0"/>
        <w:keepLines w:val="0"/>
        <w:spacing w:before="0" w:after="0" w:line="360" w:lineRule="auto"/>
        <w:ind w:firstLine="0"/>
        <w:jc w:val="center"/>
      </w:pPr>
      <w:r>
        <w:rPr>
          <w:rFonts w:ascii="Times New Roman" w:hAnsi="Times New Roman" w:eastAsia="宋体" w:cs="Times New Roman"/>
          <w:b w:val="0"/>
          <w:sz w:val="21"/>
        </w:rPr>
        <w:t>（1. 单位全称，城市 邮编；2. 单位全称，城市 邮编）</w:t>
      </w:r>
    </w:p>
    <w:p w14:paraId="486A59DA">
      <w:pPr>
        <w:keepNext w:val="0"/>
        <w:keepLines w:val="0"/>
        <w:spacing w:before="0" w:after="0" w:line="360" w:lineRule="auto"/>
        <w:ind w:firstLine="0"/>
        <w:jc w:val="both"/>
      </w:pPr>
      <w:r>
        <w:rPr>
          <w:rFonts w:ascii="Times New Roman" w:hAnsi="Times New Roman" w:eastAsia="宋体" w:cs="Times New Roman"/>
          <w:b w:val="0"/>
          <w:sz w:val="21"/>
        </w:rP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spacing w:before="0" w:after="0" w:line="360" w:lineRule="auto"/>
        <w:ind w:firstLine="0"/>
        <w:jc w:val="both"/>
      </w:pPr>
      <w:r>
        <w:rPr>
          <w:rFonts w:ascii="Times New Roman" w:hAnsi="Times New Roman" w:eastAsia="宋体" w:cs="Times New Roman"/>
          <w:b w:val="0"/>
          <w:sz w:val="21"/>
        </w:rPr>
        <w:t>关键词：智能交通；三维目标检测；激光雷达点云；Kolmogorov-Arnold 网络；B 样条函数；交通目标感知</w:t>
      </w:r>
    </w:p>
    <w:p w14:paraId="1C5ADEE6">
      <w:pPr>
        <w:keepNext w:val="0"/>
        <w:keepLines w:val="0"/>
        <w:spacing w:before="0" w:after="0" w:line="360" w:lineRule="auto"/>
        <w:ind w:firstLine="0"/>
        <w:jc w:val="both"/>
      </w:pPr>
      <w:r>
        <w:rPr>
          <w:rFonts w:ascii="Times New Roman" w:hAnsi="Times New Roman" w:eastAsia="宋体" w:cs="Times New Roman"/>
          <w:b w:val="0"/>
          <w:sz w:val="21"/>
        </w:rPr>
        <w:t>中图分类号：U491；TP391.4</w:t>
      </w:r>
    </w:p>
    <w:p w14:paraId="08CD621A">
      <w:pPr>
        <w:keepNext w:val="0"/>
        <w:keepLines w:val="0"/>
        <w:spacing w:before="0" w:after="0" w:line="360" w:lineRule="auto"/>
        <w:ind w:firstLine="0"/>
        <w:jc w:val="center"/>
      </w:pPr>
      <w:r>
        <w:rPr>
          <w:rFonts w:ascii="Times New Roman" w:hAnsi="Times New Roman" w:eastAsia="宋体" w:cs="Times New Roman"/>
          <w:b w:val="0"/>
          <w:sz w:val="21"/>
        </w:rPr>
        <w:t>Dual-Level Spline Network for 3D Object Detection in Road Traffic Scenes</w:t>
      </w:r>
    </w:p>
    <w:p w14:paraId="4829B750">
      <w:pPr>
        <w:keepNext w:val="0"/>
        <w:keepLines w:val="0"/>
        <w:spacing w:before="0" w:after="0" w:line="360" w:lineRule="auto"/>
        <w:ind w:firstLine="0"/>
        <w:jc w:val="center"/>
      </w:pPr>
      <w:r>
        <w:rPr>
          <w:rFonts w:ascii="Times New Roman" w:hAnsi="Times New Roman" w:eastAsia="宋体" w:cs="Times New Roman"/>
          <w:b w:val="0"/>
          <w:sz w:val="21"/>
        </w:rPr>
        <w:t>AUTHOR Name1, AUTHOR Name2, AUTHOR Name3</w:t>
      </w:r>
    </w:p>
    <w:p w14:paraId="05CC8D3B">
      <w:pPr>
        <w:keepNext w:val="0"/>
        <w:keepLines w:val="0"/>
        <w:spacing w:before="0" w:after="0" w:line="360" w:lineRule="auto"/>
        <w:ind w:firstLine="0"/>
        <w:jc w:val="center"/>
      </w:pPr>
      <w:r>
        <w:rPr>
          <w:rFonts w:ascii="Times New Roman" w:hAnsi="Times New Roman" w:eastAsia="宋体" w:cs="Times New Roman"/>
          <w:b w:val="0"/>
          <w:sz w:val="21"/>
        </w:rPr>
        <w:t>(1. Full affiliation, City Postcode, China; 2. Full affiliation, City Postcode, China)</w:t>
      </w:r>
    </w:p>
    <w:p w14:paraId="126C565B">
      <w:pPr>
        <w:keepNext w:val="0"/>
        <w:keepLines w:val="0"/>
        <w:spacing w:before="0" w:after="0" w:line="360" w:lineRule="auto"/>
        <w:ind w:firstLine="0"/>
        <w:jc w:val="both"/>
      </w:pPr>
      <w:r>
        <w:rPr>
          <w:rFonts w:ascii="Times New Roman" w:hAnsi="Times New Roman" w:eastAsia="宋体" w:cs="Times New Roman"/>
          <w:b w:val="0"/>
          <w:sz w:val="21"/>
        </w:rP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spacing w:before="0" w:after="0" w:line="360" w:lineRule="auto"/>
        <w:ind w:firstLine="0"/>
        <w:jc w:val="both"/>
      </w:pPr>
      <w:r>
        <w:rPr>
          <w:rFonts w:ascii="Times New Roman" w:hAnsi="Times New Roman" w:eastAsia="宋体" w:cs="Times New Roman"/>
          <w:b w:val="0"/>
          <w:sz w:val="21"/>
        </w:rPr>
        <w:t>Key words: intelligent transportation; 3D object detection; LiDAR point cloud; Kolmogorov-Arnold Network; B-spline function; traffic-object perception</w:t>
      </w:r>
    </w:p>
    <w:p w14:paraId="11DE3B57">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1 引言</w:t>
      </w:r>
    </w:p>
    <w:p w14:paraId="1597340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随着智能网联汽车、车路协同系统和智慧道路基础设施的发展，道路交通场景中的三维目标检测已经成为交通环境感知的重要任务</w:t>
      </w:r>
      <w:r>
        <w:rPr>
          <w:rFonts w:ascii="Times New Roman" w:hAnsi="Times New Roman" w:eastAsia="宋体" w:cs="Times New Roman"/>
          <w:sz w:val="21"/>
          <w:vertAlign w:val="superscript"/>
        </w:rPr>
        <w:t>[1-2]</w:t>
      </w:r>
      <w:r>
        <w:rPr>
          <w:rFonts w:ascii="Times New Roman" w:hAnsi="Times New Roman" w:eastAsia="宋体" w:cs="Times New Roman"/>
          <w:sz w:val="21"/>
        </w:rPr>
        <w:t>。车载激光雷达能够主动获取道路空间的三维几何信息。它在夜间、逆光和部分复杂天气条件下具有较好的感知稳定性。因此，激光雷达感知结果直接影响车辆决策、轨迹规划和交通安全</w:t>
      </w:r>
      <w:r>
        <w:rPr>
          <w:rFonts w:ascii="Times New Roman" w:hAnsi="Times New Roman" w:eastAsia="宋体" w:cs="Times New Roman"/>
          <w:sz w:val="21"/>
          <w:vertAlign w:val="superscript"/>
        </w:rPr>
        <w:t>[3-4]</w:t>
      </w:r>
      <w:r>
        <w:rPr>
          <w:rFonts w:ascii="Times New Roman" w:hAnsi="Times New Roman" w:eastAsia="宋体" w:cs="Times New Roman"/>
          <w:sz w:val="21"/>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rFonts w:ascii="Times New Roman" w:hAnsi="Times New Roman" w:eastAsia="宋体" w:cs="Times New Roman"/>
          <w:sz w:val="21"/>
          <w:vertAlign w:val="superscript"/>
        </w:rPr>
        <w:t>[5-6]</w:t>
      </w:r>
      <w:r>
        <w:rPr>
          <w:rFonts w:ascii="Times New Roman" w:hAnsi="Times New Roman" w:eastAsia="宋体" w:cs="Times New Roman"/>
          <w:sz w:val="21"/>
        </w:rPr>
        <w:t>。</w:t>
      </w:r>
    </w:p>
    <w:p w14:paraId="64B3A597">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现有三维目标检测方法主要包括基于点和基于体素的两类路线。PointPillars</w:t>
      </w:r>
      <w:r>
        <w:rPr>
          <w:rFonts w:ascii="Times New Roman" w:hAnsi="Times New Roman" w:eastAsia="宋体" w:cs="Times New Roman"/>
          <w:sz w:val="21"/>
          <w:vertAlign w:val="superscript"/>
        </w:rPr>
        <w:t>[7]</w:t>
      </w:r>
      <w:r>
        <w:rPr>
          <w:rFonts w:ascii="Times New Roman" w:hAnsi="Times New Roman" w:eastAsia="宋体" w:cs="Times New Roman"/>
          <w:sz w:val="21"/>
        </w:rPr>
        <w:t xml:space="preserve"> 和 SECOND</w:t>
      </w:r>
      <w:r>
        <w:rPr>
          <w:rFonts w:ascii="Times New Roman" w:hAnsi="Times New Roman" w:eastAsia="宋体" w:cs="Times New Roman"/>
          <w:sz w:val="21"/>
          <w:vertAlign w:val="superscript"/>
        </w:rPr>
        <w:t>[8]</w:t>
      </w:r>
      <w:r>
        <w:rPr>
          <w:rFonts w:ascii="Times New Roman" w:hAnsi="Times New Roman" w:eastAsia="宋体" w:cs="Times New Roman"/>
          <w:sz w:val="21"/>
        </w:rPr>
        <w:t xml:space="preserve"> 将无序点云转换为柱状或体素网格，并借助卷积网络实现实时检测。PV-RCNN</w:t>
      </w:r>
      <w:r>
        <w:rPr>
          <w:rFonts w:ascii="Times New Roman" w:hAnsi="Times New Roman" w:eastAsia="宋体" w:cs="Times New Roman"/>
          <w:sz w:val="21"/>
          <w:vertAlign w:val="superscript"/>
        </w:rPr>
        <w:t>[9]</w:t>
      </w:r>
      <w:r>
        <w:rPr>
          <w:rFonts w:ascii="Times New Roman" w:hAnsi="Times New Roman" w:eastAsia="宋体" w:cs="Times New Roman"/>
          <w:sz w:val="21"/>
        </w:rPr>
        <w:t xml:space="preserve"> 和 CenterPoint</w:t>
      </w:r>
      <w:r>
        <w:rPr>
          <w:rFonts w:ascii="Times New Roman" w:hAnsi="Times New Roman" w:eastAsia="宋体" w:cs="Times New Roman"/>
          <w:sz w:val="21"/>
          <w:vertAlign w:val="superscript"/>
        </w:rPr>
        <w:t>[10]</w:t>
      </w:r>
      <w:r>
        <w:rPr>
          <w:rFonts w:ascii="Times New Roman" w:hAnsi="Times New Roman" w:eastAsia="宋体" w:cs="Times New Roman"/>
          <w:sz w:val="21"/>
        </w:rPr>
        <w:t xml:space="preserve"> 等方法进一步融合多尺度特征、中心点回归和注意力机制</w:t>
      </w:r>
      <w:r>
        <w:rPr>
          <w:rFonts w:ascii="Times New Roman" w:hAnsi="Times New Roman" w:eastAsia="宋体" w:cs="Times New Roman"/>
          <w:sz w:val="21"/>
          <w:vertAlign w:val="superscript"/>
        </w:rPr>
        <w:t>[11-12]</w:t>
      </w:r>
      <w:r>
        <w:rPr>
          <w:rFonts w:ascii="Times New Roman" w:hAnsi="Times New Roman" w:eastAsia="宋体" w:cs="Times New Roman"/>
          <w:sz w:val="21"/>
        </w:rPr>
        <w:t>。这些方法已经推动了自动驾驶感知技术的发展。可是，许多方法仍然依赖多层感知机和固定卷积结构。它们在表达道路交通目标的非线性边缘、局部遮挡和远距离稀疏形态时仍有不足</w:t>
      </w:r>
      <w:r>
        <w:rPr>
          <w:rFonts w:ascii="Times New Roman" w:hAnsi="Times New Roman" w:eastAsia="宋体" w:cs="Times New Roman"/>
          <w:sz w:val="21"/>
          <w:vertAlign w:val="superscript"/>
        </w:rPr>
        <w:t>[13]</w:t>
      </w:r>
      <w:r>
        <w:rPr>
          <w:rFonts w:ascii="Times New Roman" w:hAnsi="Times New Roman" w:eastAsia="宋体" w:cs="Times New Roman"/>
          <w:sz w:val="21"/>
        </w:rPr>
        <w:t>。对于行人和骑行者等弱几何目标，固定映射容易造成关键轮廓信息丢失，并会影响三维框回归稳定性</w:t>
      </w:r>
      <w:r>
        <w:rPr>
          <w:rFonts w:ascii="Times New Roman" w:hAnsi="Times New Roman" w:eastAsia="宋体" w:cs="Times New Roman"/>
          <w:sz w:val="21"/>
          <w:vertAlign w:val="superscript"/>
        </w:rPr>
        <w:t>[14-17]</w:t>
      </w:r>
      <w:r>
        <w:rPr>
          <w:rFonts w:ascii="Times New Roman" w:hAnsi="Times New Roman" w:eastAsia="宋体" w:cs="Times New Roman"/>
          <w:sz w:val="21"/>
        </w:rPr>
        <w:t>。</w:t>
      </w:r>
    </w:p>
    <w:p w14:paraId="5AE482C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基于上述问题，本文提出一种面向道路交通场景的 Point-KAN-3D 轻量化三维目标检测方法。本文的主要工作包括以下三个方面：</w:t>
      </w:r>
    </w:p>
    <w:p w14:paraId="5734EBF4">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color w:val="333333"/>
          <w:sz w:val="21"/>
        </w:rP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2 本文算法</w:t>
      </w:r>
    </w:p>
    <w:p w14:paraId="04135C35">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2.1 算法总体架构</w:t>
      </w:r>
    </w:p>
    <w:p w14:paraId="5CFBA560">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sz w:val="21"/>
        </w:rPr>
        <w:t>本文提出的 Point-KAN-3D 是一种面向道路交通场景的轻量化三维目标检测框架。该框架以 Kolmogorov-Arnold 网络（KAN）</w:t>
      </w:r>
      <w:r>
        <w:rPr>
          <w:rFonts w:ascii="Times New Roman" w:hAnsi="Times New Roman" w:eastAsia="宋体" w:cs="Times New Roman"/>
          <w:sz w:val="21"/>
          <w:vertAlign w:val="superscript"/>
        </w:rPr>
        <w:t>[15]</w:t>
      </w:r>
      <w:r>
        <w:rPr>
          <w:rFonts w:ascii="Times New Roman" w:hAnsi="Times New Roman" w:eastAsia="宋体" w:cs="Times New Roman"/>
          <w:sz w:val="21"/>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spacing w:before="0" w:beforeAutospacing="0" w:after="0" w:afterAutospacing="0" w:line="360" w:lineRule="auto"/>
        <w:ind w:firstLine="420"/>
        <w:jc w:val="center"/>
        <w:rPr>
          <w:rFonts w:hint="eastAsia" w:ascii="宋体" w:hAnsi="宋体" w:eastAsia="宋体" w:cs="宋体"/>
          <w:color w:val="333333"/>
        </w:rPr>
      </w:pPr>
      <w:r>
        <w:rPr>
          <w:rFonts w:hint="eastAsia" w:ascii="宋体" w:hAnsi="宋体" w:eastAsia="宋体" w:cs="宋体"/>
          <w:color w:val="333333"/>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1 Point-KAN-3D 算法整体架构图</w:t>
      </w:r>
    </w:p>
    <w:p w14:paraId="5007629B">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1 The overall architecture of Point-KAN-3D algorithm</w:t>
      </w:r>
    </w:p>
    <w:p w14:paraId="7F7309DE">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2.2 面向交通目标的局部几何特征增强（Point-KAN）</w:t>
      </w:r>
    </w:p>
    <w:p w14:paraId="7B4E919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rFonts w:ascii="Times New Roman" w:hAnsi="Times New Roman" w:eastAsia="宋体" w:cs="Times New Roman"/>
          <w:sz w:val="21"/>
          <w:vertAlign w:val="superscript"/>
        </w:rPr>
        <w:t>[18]</w:t>
      </w:r>
      <w:r>
        <w:rPr>
          <w:rFonts w:ascii="Times New Roman" w:hAnsi="Times New Roman" w:eastAsia="宋体" w:cs="Times New Roman"/>
          <w:sz w:val="21"/>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eastAsia="宋体" w:cs="Times New Roman"/>
          <w:sz w:val="21"/>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sz w:val="21"/>
        </w:rPr>
        <w:t>，其高维空间映射过程可表达为：</w:t>
      </w:r>
    </w:p>
    <w:p w14:paraId="103354B3">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cs="Times New Roman"/>
          <w:b w:val="0"/>
          <w:kern w:val="0"/>
          <w:sz w:val="21"/>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b w:val="0"/>
          <w:sz w:val="21"/>
        </w:rP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spacing w:before="0" w:beforeAutospacing="0" w:after="0" w:afterAutospacing="0" w:line="360" w:lineRule="auto"/>
        <w:ind w:firstLine="420"/>
        <w:jc w:val="both"/>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spacing w:before="0" w:beforeAutospacing="0" w:after="0" w:afterAutospacing="0" w:line="360" w:lineRule="auto"/>
        <w:ind w:firstLine="420"/>
        <w:jc w:val="center"/>
      </w:pPr>
      <w:r>
        <w:rPr>
          <w:rFonts w:hint="eastAsia" w:ascii="宋体" w:hAnsi="宋体" w:eastAsia="宋体" w:cs="宋体"/>
          <w:color w:val="333333"/>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spacing w:before="0" w:beforeAutospacing="0" w:after="0" w:afterAutospacing="0" w:line="360" w:lineRule="auto"/>
        <w:ind w:firstLine="0"/>
        <w:jc w:val="center"/>
        <w:rPr>
          <w:rFonts w:hint="eastAsia" w:ascii="宋体" w:hAnsi="宋体" w:eastAsia="宋体" w:cs="宋体"/>
          <w:b/>
          <w:bCs/>
          <w:sz w:val="21"/>
          <w:szCs w:val="21"/>
        </w:rPr>
      </w:pPr>
      <w:r>
        <w:rPr>
          <w:rFonts w:hint="eastAsia" w:ascii="Times New Roman" w:hAnsi="Times New Roman" w:eastAsia="宋体" w:cs="Times New Roman"/>
          <w:b w:val="0"/>
          <w:bCs/>
          <w:sz w:val="18"/>
          <w:szCs w:val="21"/>
        </w:rPr>
        <w:t>图 2 面向交通目标的 Point-KAN 局部几何特征增强模块</w:t>
      </w:r>
    </w:p>
    <w:p w14:paraId="7020D5A5">
      <w:pPr>
        <w:pStyle w:val="6"/>
        <w:keepNext/>
        <w:keepLines w:val="0"/>
        <w:widowControl/>
        <w:spacing w:before="0" w:beforeAutospacing="0" w:after="0" w:afterAutospacing="0" w:line="360" w:lineRule="auto"/>
        <w:ind w:firstLine="0"/>
        <w:jc w:val="center"/>
        <w:rPr>
          <w:sz w:val="21"/>
          <w:szCs w:val="21"/>
        </w:rPr>
      </w:pPr>
      <w:r>
        <w:rPr>
          <w:rFonts w:hint="eastAsia" w:ascii="Times New Roman" w:hAnsi="Times New Roman" w:eastAsia="宋体" w:cs="Times New Roman"/>
          <w:b w:val="0"/>
          <w:sz w:val="18"/>
          <w:szCs w:val="21"/>
        </w:rPr>
        <w:t>Fig. 2 Point-KAN module for local geometric feature enhancement of traffic objects</w:t>
      </w:r>
    </w:p>
    <w:p w14:paraId="4376ABAC">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2.3 面向道路空间的自适应样条稀疏体素编码（Sparse KAN-Voxel）</w:t>
      </w:r>
    </w:p>
    <w:p w14:paraId="18CD09ED">
      <w:pPr>
        <w:keepNext w:val="0"/>
        <w:keepLines w:val="0"/>
        <w:widowControl/>
        <w:spacing w:before="0" w:after="0" w:line="360" w:lineRule="auto"/>
        <w:ind w:firstLine="420"/>
        <w:jc w:val="both"/>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spacing w:before="0" w:after="0" w:line="360" w:lineRule="auto"/>
        <w:ind w:firstLine="420"/>
        <w:jc w:val="center"/>
      </w:pPr>
      <w:r>
        <w:rPr>
          <w:rFonts w:ascii="Times New Roman" w:hAnsi="Times New Roman" w:eastAsia="宋体" w:cs="Times New Roman"/>
          <w:b w:val="0"/>
          <w:sz w:val="21"/>
        </w:rP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spacing w:before="0" w:after="0" w:line="360" w:lineRule="auto"/>
        <w:ind w:firstLine="420"/>
        <w:jc w:val="both"/>
        <w:rPr>
          <w:rFonts w:hint="eastAsia" w:ascii="宋体" w:hAnsi="宋体" w:eastAsia="宋体" w:cs="宋体"/>
          <w:kern w:val="0"/>
          <w:sz w:val="24"/>
          <w:lang w:bidi="ar"/>
        </w:rPr>
      </w:pPr>
      <w:r>
        <w:rPr>
          <w:rFonts w:ascii="Times New Roman" w:hAnsi="Times New Roman" w:eastAsia="宋体" w:cs="Times New Roman"/>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ascii="Times New Roman" w:hAnsi="Times New Roman" w:eastAsia="宋体" w:cs="Times New Roman"/>
          <w:sz w:val="21"/>
        </w:rP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spacing w:before="0" w:after="0" w:line="360" w:lineRule="auto"/>
        <w:ind w:firstLine="420"/>
        <w:jc w:val="both"/>
        <w:rPr>
          <w:rFonts w:hint="eastAsia" w:ascii="宋体" w:hAnsi="宋体" w:eastAsia="宋体" w:cs="宋体"/>
          <w:color w:val="333333"/>
          <w:sz w:val="24"/>
        </w:rPr>
      </w:pPr>
      <w:r>
        <w:rPr>
          <w:rFonts w:ascii="Times New Roman" w:hAnsi="Times New Roman" w:eastAsia="宋体" w:cs="Times New Roman"/>
          <w:b w:val="0"/>
          <w:sz w:val="21"/>
        </w:rP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spacing w:before="0" w:after="0" w:line="360" w:lineRule="auto"/>
        <w:ind w:firstLine="420"/>
        <w:jc w:val="both"/>
      </w:pPr>
      <w:r>
        <w:rPr>
          <w:rFonts w:ascii="Times New Roman" w:hAnsi="Times New Roman" w:eastAsia="宋体" w:cs="Times New Roman"/>
          <w:b w:val="0"/>
          <w:kern w:val="0"/>
          <w:sz w:val="21"/>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ascii="Times New Roman" w:hAnsi="Times New Roman" w:eastAsia="宋体" w:cs="Times New Roman"/>
          <w:b w:val="0"/>
          <w:kern w:val="0"/>
          <w:sz w:val="21"/>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rFonts w:ascii="Times New Roman" w:hAnsi="Times New Roman" w:eastAsia="宋体" w:cs="Times New Roman"/>
          <w:b w:val="0"/>
          <w:kern w:val="0"/>
          <w:sz w:val="21"/>
          <w:lang w:bidi="ar"/>
        </w:rPr>
        <w:t>。该设计能够提高道路空间特征的连续性。它也能减少编码器内存占用，并支持车载平台上的实时推理。</w:t>
      </w:r>
    </w:p>
    <w:p w14:paraId="153F3511">
      <w:pPr>
        <w:keepNext/>
        <w:keepLines/>
        <w:pageBreakBefore/>
        <w:spacing w:before="0" w:after="0" w:line="360" w:lineRule="auto"/>
        <w:ind w:firstLine="420"/>
        <w:jc w:val="center"/>
      </w:pPr>
      <w:r>
        <w:rPr>
          <w:rFonts w:hint="eastAsia" w:eastAsiaTheme="minorEastAsia"/>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bCs/>
          <w:kern w:val="0"/>
          <w:sz w:val="18"/>
          <w:lang w:bidi="ar"/>
        </w:rPr>
        <w:t>图 3 面向道路空间的 Sparse KAN-Voxel 自适应样条编码模块</w:t>
      </w:r>
    </w:p>
    <w:p w14:paraId="39ACBC83">
      <w:pPr>
        <w:keepNext/>
        <w:keepLines w:val="0"/>
        <w:widowControl/>
        <w:spacing w:before="0" w:after="0" w:line="360" w:lineRule="auto"/>
        <w:ind w:firstLine="0"/>
        <w:jc w:val="center"/>
        <w:rPr>
          <w:rFonts w:hint="eastAsia" w:ascii="宋体" w:hAnsi="宋体" w:eastAsia="宋体" w:cs="宋体"/>
          <w:kern w:val="0"/>
          <w:sz w:val="24"/>
          <w:lang w:bidi="ar"/>
        </w:rPr>
      </w:pPr>
      <w:r>
        <w:rPr>
          <w:rFonts w:ascii="Times New Roman" w:hAnsi="Times New Roman" w:eastAsia="宋体" w:cs="Times New Roman"/>
          <w:b w:val="0"/>
          <w:kern w:val="0"/>
          <w:sz w:val="18"/>
          <w:lang w:bidi="ar"/>
        </w:rPr>
        <w:t>Fig. 3 Sparse KAN-Voxel module for adaptive spline encoding in road space</w:t>
      </w:r>
    </w:p>
    <w:p w14:paraId="32C8CD20">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2.4 多任务损失函数约束</w:t>
      </w:r>
    </w:p>
    <w:p w14:paraId="5C720EC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Times New Roman" w:hAnsi="Times New Roman" w:eastAsia="宋体" w:cs="Times New Roman"/>
          <w:sz w:val="21"/>
        </w:rPr>
        <w:t>。考虑到三维检测中朝向角具有周期性，本文对朝向角 θ 引入正弦约束项以平衡梯度：</w:t>
      </w:r>
    </w:p>
    <w:p w14:paraId="1EAEC7EF">
      <w:pPr>
        <w:pStyle w:val="6"/>
        <w:keepNext w:val="0"/>
        <w:keepLines w:val="0"/>
        <w:widowControl/>
        <w:spacing w:before="0" w:beforeAutospacing="0" w:after="0" w:afterAutospacing="0" w:line="360" w:lineRule="auto"/>
        <w:jc w:val="both"/>
        <w:rPr>
          <w:rFonts w:hint="eastAsia" w:ascii="宋体" w:hAnsi="宋体" w:eastAsia="宋体" w:cs="宋体"/>
          <w:color w:val="333333"/>
        </w:rPr>
      </w:pPr>
      <w:r>
        <w:rPr>
          <w:rFonts w:ascii="Times New Roman" w:hAnsi="Times New Roman" w:eastAsia="宋体" w:cs="Times New Roman"/>
          <w:b w:val="0"/>
          <w:sz w:val="21"/>
        </w:rP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b w:val="0"/>
          <w:sz w:val="21"/>
        </w:rP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rPr>
          <w:rFonts w:ascii="Times New Roman" w:hAnsi="Times New Roman" w:eastAsia="宋体" w:cs="Times New Roman"/>
          <w:b w:val="0"/>
          <w:sz w:val="21"/>
        </w:rPr>
        <w:t>最终的总损失函数定义为各子任务损失的加权求和：</w:t>
      </w:r>
    </w:p>
    <w:p w14:paraId="4AFC518C">
      <w:pPr>
        <w:pStyle w:val="6"/>
        <w:widowControl/>
        <w:spacing w:before="0" w:beforeAutospacing="0" w:after="0" w:afterAutospacing="0" w:line="360" w:lineRule="auto"/>
        <w:ind w:firstLine="420"/>
        <w:jc w:val="both"/>
      </w:pPr>
    </w:p>
    <w:p w14:paraId="4CD13ABB">
      <w:pPr>
        <w:pStyle w:val="6"/>
        <w:keepNext w:val="0"/>
        <w:keepLines w:val="0"/>
        <w:widowControl/>
        <w:spacing w:before="0" w:beforeAutospacing="0" w:after="0" w:afterAutospacing="0" w:line="360" w:lineRule="auto"/>
        <w:ind w:firstLine="420"/>
        <w:jc w:val="both"/>
      </w:pPr>
      <w:r>
        <w:rPr>
          <w:rFonts w:ascii="Times New Roman" w:hAnsi="Times New Roman" w:eastAsia="宋体" w:cs="Times New Roman"/>
          <w:b w:val="0"/>
          <w:sz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Times New Roman" w:hAnsi="Times New Roman" w:eastAsia="宋体" w:cs="Times New Roman"/>
          <w:b w:val="0"/>
          <w:sz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Times New Roman" w:hAnsi="Times New Roman" w:eastAsia="宋体" w:cs="Times New Roman"/>
          <w:b w:val="0"/>
          <w:sz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Times New Roman" w:hAnsi="Times New Roman" w:eastAsia="宋体" w:cs="Times New Roman"/>
          <w:b w:val="0"/>
          <w:sz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spacing w:before="0" w:beforeAutospacing="0" w:after="0" w:afterAutospacing="0" w:line="360" w:lineRule="auto"/>
        <w:ind w:firstLine="0"/>
        <w:jc w:val="left"/>
        <w:rPr>
          <w:rFonts w:hint="eastAsia" w:ascii="黑体" w:hAnsi="黑体" w:eastAsia="黑体" w:cs="黑体"/>
          <w:sz w:val="28"/>
          <w:szCs w:val="28"/>
        </w:rPr>
      </w:pPr>
      <w:r>
        <w:rPr>
          <w:rFonts w:ascii="Times New Roman" w:hAnsi="Times New Roman" w:eastAsia="宋体" w:cs="Times New Roman"/>
          <w:b/>
          <w:sz w:val="22"/>
        </w:rPr>
        <w:t>3 实验结果与分析</w:t>
      </w:r>
    </w:p>
    <w:p w14:paraId="179AD197">
      <w:pPr>
        <w:pStyle w:val="6"/>
        <w:keepNext/>
        <w:keepLines w:val="0"/>
        <w:widowControl/>
        <w:spacing w:before="0" w:beforeAutospacing="0" w:after="0" w:afterAutospacing="0" w:line="360" w:lineRule="auto"/>
        <w:ind w:firstLine="0"/>
        <w:jc w:val="left"/>
        <w:rPr>
          <w:rFonts w:hint="eastAsia" w:ascii="宋体" w:hAnsi="宋体" w:eastAsia="宋体" w:cs="宋体"/>
          <w:b/>
          <w:bCs/>
        </w:rPr>
      </w:pPr>
      <w:r>
        <w:rPr>
          <w:rFonts w:ascii="Times New Roman" w:hAnsi="Times New Roman" w:eastAsia="宋体" w:cs="Times New Roman"/>
          <w:b/>
          <w:sz w:val="22"/>
        </w:rPr>
        <w:t>3.1 数据集与实验设置</w:t>
      </w:r>
    </w:p>
    <w:p w14:paraId="2967393E">
      <w:pPr>
        <w:pStyle w:val="6"/>
        <w:keepNext/>
        <w:keepLines w:val="0"/>
        <w:widowControl/>
        <w:spacing w:before="0" w:beforeAutospacing="0" w:after="0" w:afterAutospacing="0" w:line="360" w:lineRule="auto"/>
        <w:ind w:firstLine="0"/>
        <w:jc w:val="left"/>
        <w:rPr>
          <w:rFonts w:hint="eastAsia" w:ascii="黑体" w:hAnsi="黑体" w:eastAsia="黑体" w:cs="黑体"/>
        </w:rPr>
      </w:pPr>
      <w:r>
        <w:rPr>
          <w:rFonts w:ascii="Times New Roman" w:hAnsi="Times New Roman" w:eastAsia="宋体" w:cs="Times New Roman"/>
          <w:b/>
          <w:sz w:val="22"/>
        </w:rPr>
        <w:t>3.1.1 数据集介绍</w:t>
      </w:r>
    </w:p>
    <w:p w14:paraId="780BB984">
      <w:pPr>
        <w:pStyle w:val="6"/>
        <w:keepNext w:val="0"/>
        <w:keepLines w:val="0"/>
        <w:widowControl/>
        <w:spacing w:before="0" w:beforeAutospacing="0" w:after="0" w:afterAutospacing="0" w:line="360" w:lineRule="auto"/>
        <w:ind w:firstLine="420"/>
        <w:jc w:val="both"/>
        <w:rPr>
          <w:rFonts w:hint="eastAsia" w:ascii="宋体" w:hAnsi="宋体" w:eastAsia="宋体" w:cs="宋体"/>
        </w:rPr>
      </w:pPr>
      <w:r>
        <w:rPr>
          <w:rFonts w:ascii="Times New Roman" w:hAnsi="Times New Roman" w:eastAsia="宋体" w:cs="Times New Roman"/>
          <w:sz w:val="21"/>
        </w:rPr>
        <w:t>本文在 KITTI 3D 目标检测基准数据集</w:t>
      </w:r>
      <w:r>
        <w:rPr>
          <w:rFonts w:ascii="Times New Roman" w:hAnsi="Times New Roman" w:eastAsia="宋体" w:cs="Times New Roman"/>
          <w:sz w:val="21"/>
          <w:vertAlign w:val="superscript"/>
        </w:rPr>
        <w:t>[14]</w:t>
      </w:r>
      <w:r>
        <w:rPr>
          <w:rFonts w:ascii="Times New Roman" w:hAnsi="Times New Roman" w:eastAsia="宋体" w:cs="Times New Roman"/>
          <w:sz w:val="21"/>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spacing w:before="0" w:after="0" w:line="360" w:lineRule="auto"/>
        <w:ind w:firstLine="420"/>
        <w:jc w:val="both"/>
      </w:pPr>
      <w:r>
        <w:rPr>
          <w:rFonts w:ascii="Times New Roman" w:hAnsi="Times New Roman" w:eastAsia="宋体" w:cs="Times New Roman"/>
          <w:b w:val="0"/>
          <w:sz w:val="21"/>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3.1.2 评价指标</w:t>
      </w:r>
    </w:p>
    <w:p w14:paraId="41191470">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sz w:val="21"/>
        </w:rP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rFonts w:ascii="Times New Roman" w:hAnsi="Times New Roman" w:eastAsia="宋体" w:cs="Times New Roman"/>
          <w:sz w:val="21"/>
          <w:vertAlign w:val="superscript"/>
        </w:rPr>
        <w:t>[16-17]</w:t>
      </w:r>
      <w:r>
        <w:rPr>
          <w:rFonts w:ascii="Times New Roman" w:hAnsi="Times New Roman" w:eastAsia="宋体" w:cs="Times New Roman"/>
          <w:sz w:val="21"/>
        </w:rPr>
        <w:t>。</w:t>
      </w:r>
    </w:p>
    <w:p w14:paraId="7A31DC2F">
      <w:pPr>
        <w:pStyle w:val="6"/>
        <w:keepNext/>
        <w:keepLines w:val="0"/>
        <w:widowControl/>
        <w:spacing w:before="0" w:beforeAutospacing="0" w:after="0" w:afterAutospacing="0" w:line="360" w:lineRule="auto"/>
        <w:ind w:firstLine="0"/>
        <w:jc w:val="left"/>
        <w:rPr>
          <w:rFonts w:hint="eastAsia" w:ascii="宋体" w:hAnsi="宋体" w:eastAsia="宋体" w:cs="宋体"/>
          <w:color w:val="333333"/>
        </w:rPr>
      </w:pPr>
      <w:r>
        <w:rPr>
          <w:rFonts w:ascii="Times New Roman" w:hAnsi="Times New Roman" w:eastAsia="宋体" w:cs="Times New Roman"/>
          <w:b/>
          <w:sz w:val="22"/>
        </w:rPr>
        <w:t>3.1.3 实现细节</w:t>
      </w:r>
    </w:p>
    <w:p w14:paraId="65D8EC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3.2 与主流算法的对比实验</w:t>
      </w:r>
    </w:p>
    <w:p w14:paraId="1391C618">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1 KITTI 验证集 3D 检测精度对比（%）</w:t>
      </w:r>
    </w:p>
    <w:p w14:paraId="63336463">
      <w:pPr>
        <w:keepNext/>
        <w:keepLines w:val="0"/>
        <w:spacing w:before="0" w:after="0" w:line="360" w:lineRule="auto"/>
        <w:ind w:firstLine="0"/>
        <w:jc w:val="center"/>
      </w:pPr>
      <w:r>
        <w:rPr>
          <w:rFonts w:ascii="Times New Roman" w:hAnsi="Times New Roman" w:eastAsia="宋体" w:cs="Times New Roman"/>
          <w:b w:val="0"/>
          <w:sz w:val="18"/>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spacing w:before="0" w:after="0" w:line="240" w:lineRule="auto"/>
              <w:ind w:firstLine="0"/>
              <w:jc w:val="center"/>
            </w:pPr>
            <w:r>
              <w:rPr>
                <w:rFonts w:ascii="Times New Roman" w:hAnsi="Times New Roman" w:eastAsia="宋体" w:cs="Times New Roman"/>
                <w:b w:val="0"/>
                <w:bCs/>
                <w:kern w:val="0"/>
                <w:sz w:val="18"/>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35</w:t>
            </w:r>
          </w:p>
        </w:tc>
      </w:tr>
    </w:tbl>
    <w:p w14:paraId="5CBCB962">
      <w:pPr>
        <w:keepNext/>
        <w:keepLines w:val="0"/>
        <w:spacing w:before="0" w:after="0" w:line="360" w:lineRule="auto"/>
        <w:ind w:firstLine="0"/>
        <w:jc w:val="left"/>
      </w:pPr>
      <w:r>
        <w:rPr>
          <w:rFonts w:ascii="Times New Roman" w:hAnsi="Times New Roman" w:eastAsia="宋体" w:cs="Times New Roman"/>
          <w:b/>
          <w:sz w:val="22"/>
        </w:rPr>
        <w:t>3.3 私有数据集上的泛化验证实验</w:t>
      </w:r>
    </w:p>
    <w:p w14:paraId="69353DB1">
      <w:pPr>
        <w:keepNext w:val="0"/>
        <w:keepLines w:val="0"/>
        <w:spacing w:before="0" w:after="0" w:line="360" w:lineRule="auto"/>
        <w:ind w:firstLine="420"/>
        <w:jc w:val="both"/>
      </w:pPr>
      <w:r>
        <w:rPr>
          <w:rFonts w:ascii="Times New Roman" w:hAnsi="Times New Roman" w:eastAsia="宋体" w:cs="Times New Roman"/>
          <w:b w:val="0"/>
          <w:sz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spacing w:before="0" w:after="0" w:line="360" w:lineRule="auto"/>
        <w:ind w:firstLine="0"/>
        <w:jc w:val="center"/>
        <w:rPr>
          <w:rFonts w:ascii="Times New Roman" w:hAnsi="Times New Roman" w:eastAsia="宋体"/>
          <w:b w:val="0"/>
          <w:sz w:val="22"/>
        </w:rPr>
      </w:pPr>
      <w:r>
        <w:rPr>
          <w:rFonts w:ascii="Times New Roman" w:hAnsi="Times New Roman" w:eastAsia="宋体" w:cs="Times New Roman"/>
          <w:b w:val="0"/>
          <w:sz w:val="18"/>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spacing w:before="0" w:after="0" w:line="360" w:lineRule="auto"/>
        <w:ind w:firstLine="0"/>
        <w:jc w:val="center"/>
      </w:pPr>
      <w:r>
        <w:rPr>
          <w:rFonts w:ascii="Times New Roman" w:hAnsi="Times New Roman" w:eastAsia="宋体" w:cs="Times New Roman"/>
          <w:b w:val="0"/>
          <w:sz w:val="18"/>
        </w:rPr>
        <w:t>表 2 私有道路数据集 Box AP 对比（%）</w:t>
      </w:r>
    </w:p>
    <w:p w14:paraId="07737539">
      <w:pPr>
        <w:keepNext/>
        <w:keepLines w:val="0"/>
        <w:spacing w:before="0" w:after="0" w:line="360" w:lineRule="auto"/>
        <w:ind w:firstLine="0"/>
        <w:jc w:val="center"/>
      </w:pPr>
      <w:r>
        <w:rPr>
          <w:rFonts w:ascii="Times New Roman" w:hAnsi="Times New Roman" w:eastAsia="宋体" w:cs="Times New Roman"/>
          <w:b w:val="0"/>
          <w:sz w:val="18"/>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spacing w:before="0" w:after="0" w:line="240" w:lineRule="auto"/>
              <w:ind w:firstLine="0"/>
              <w:jc w:val="center"/>
            </w:pPr>
            <w:r>
              <w:rPr>
                <w:rFonts w:ascii="Times New Roman" w:hAnsi="Times New Roman" w:eastAsia="宋体" w:cs="Times New Roman"/>
                <w:b/>
                <w:sz w:val="18"/>
              </w:rP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spacing w:before="0" w:after="0" w:line="240" w:lineRule="auto"/>
              <w:ind w:firstLine="0"/>
              <w:jc w:val="center"/>
            </w:pPr>
            <w:r>
              <w:rPr>
                <w:rFonts w:ascii="Times New Roman" w:hAnsi="Times New Roman" w:eastAsia="宋体" w:cs="Times New Roman"/>
                <w:b/>
                <w:sz w:val="18"/>
              </w:rP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spacing w:before="0" w:after="0" w:line="240" w:lineRule="auto"/>
              <w:ind w:firstLine="0"/>
              <w:jc w:val="center"/>
            </w:pPr>
            <w:r>
              <w:rPr>
                <w:rFonts w:ascii="Times New Roman" w:hAnsi="Times New Roman" w:eastAsia="宋体" w:cs="Times New Roman"/>
                <w:b/>
                <w:sz w:val="18"/>
              </w:rP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spacing w:before="0" w:after="0" w:line="240" w:lineRule="auto"/>
              <w:ind w:firstLine="0"/>
              <w:jc w:val="center"/>
            </w:pPr>
            <w:r>
              <w:rPr>
                <w:rFonts w:ascii="Times New Roman" w:hAnsi="Times New Roman" w:eastAsia="宋体" w:cs="Times New Roman"/>
                <w:b/>
                <w:sz w:val="18"/>
              </w:rP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spacing w:before="0" w:after="0" w:line="240" w:lineRule="auto"/>
              <w:ind w:firstLine="0"/>
              <w:jc w:val="center"/>
            </w:pPr>
            <w:r>
              <w:rPr>
                <w:rFonts w:ascii="Times New Roman" w:hAnsi="Times New Roman" w:eastAsia="宋体" w:cs="Times New Roman"/>
                <w:b w:val="0"/>
                <w:sz w:val="18"/>
              </w:rP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spacing w:before="0" w:after="0" w:line="240" w:lineRule="auto"/>
              <w:ind w:firstLine="0"/>
              <w:jc w:val="center"/>
            </w:pPr>
            <w:r>
              <w:rPr>
                <w:rFonts w:ascii="Times New Roman" w:hAnsi="Times New Roman" w:eastAsia="宋体" w:cs="Times New Roman"/>
                <w:b w:val="0"/>
                <w:sz w:val="18"/>
              </w:rP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spacing w:before="0" w:after="0" w:line="240" w:lineRule="auto"/>
              <w:ind w:firstLine="0"/>
              <w:jc w:val="center"/>
            </w:pPr>
            <w:r>
              <w:rPr>
                <w:rFonts w:ascii="Times New Roman" w:hAnsi="Times New Roman" w:eastAsia="宋体" w:cs="Times New Roman"/>
                <w:b w:val="0"/>
                <w:sz w:val="18"/>
              </w:rP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spacing w:before="0" w:after="0" w:line="240" w:lineRule="auto"/>
              <w:ind w:firstLine="0"/>
              <w:jc w:val="center"/>
            </w:pPr>
            <w:r>
              <w:rPr>
                <w:rFonts w:ascii="Times New Roman" w:hAnsi="Times New Roman" w:eastAsia="宋体" w:cs="Times New Roman"/>
                <w:b w:val="0"/>
                <w:sz w:val="18"/>
              </w:rP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spacing w:before="0" w:after="0" w:line="240" w:lineRule="auto"/>
              <w:ind w:firstLine="0"/>
              <w:jc w:val="center"/>
            </w:pPr>
            <w:r>
              <w:rPr>
                <w:rFonts w:ascii="Times New Roman" w:hAnsi="Times New Roman" w:eastAsia="宋体" w:cs="Times New Roman"/>
                <w:b w:val="0"/>
                <w:sz w:val="18"/>
              </w:rP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spacing w:before="0" w:after="0" w:line="240" w:lineRule="auto"/>
              <w:ind w:firstLine="0"/>
              <w:jc w:val="center"/>
            </w:pPr>
            <w:r>
              <w:rPr>
                <w:rFonts w:ascii="Times New Roman" w:hAnsi="Times New Roman" w:eastAsia="宋体" w:cs="Times New Roman"/>
                <w:b w:val="0"/>
                <w:sz w:val="18"/>
              </w:rP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spacing w:before="0" w:after="0" w:line="240" w:lineRule="auto"/>
              <w:ind w:firstLine="0"/>
              <w:jc w:val="center"/>
            </w:pPr>
            <w:r>
              <w:rPr>
                <w:rFonts w:ascii="Times New Roman" w:hAnsi="Times New Roman" w:eastAsia="宋体" w:cs="Times New Roman"/>
                <w:b w:val="0"/>
                <w:sz w:val="18"/>
              </w:rP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spacing w:before="0" w:after="0" w:line="240" w:lineRule="auto"/>
              <w:ind w:firstLine="0"/>
              <w:jc w:val="center"/>
            </w:pPr>
            <w:r>
              <w:rPr>
                <w:rFonts w:ascii="Times New Roman" w:hAnsi="Times New Roman" w:eastAsia="宋体" w:cs="Times New Roman"/>
                <w:b w:val="0"/>
                <w:sz w:val="18"/>
              </w:rPr>
              <w:t>42.76</w:t>
            </w:r>
          </w:p>
        </w:tc>
      </w:tr>
    </w:tbl>
    <w:p w14:paraId="1A63F2FC">
      <w:pPr>
        <w:keepNext w:val="0"/>
        <w:keepLines w:val="0"/>
        <w:spacing w:before="0" w:after="0" w:line="360" w:lineRule="auto"/>
        <w:ind w:firstLine="420"/>
        <w:jc w:val="both"/>
      </w:pPr>
      <w:r>
        <w:rPr>
          <w:rFonts w:ascii="Times New Roman" w:hAnsi="Times New Roman" w:eastAsia="宋体" w:cs="Times New Roman"/>
          <w:b w:val="0"/>
          <w:sz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before="0" w:after="0" w:line="360" w:lineRule="auto"/>
        <w:ind w:firstLine="420"/>
        <w:jc w:val="both"/>
      </w:pPr>
    </w:p>
    <w:p w14:paraId="7872FC89">
      <w:pPr>
        <w:keepNext/>
        <w:keepLines/>
        <w:spacing w:before="0" w:after="0" w:line="360" w:lineRule="auto"/>
        <w:ind w:firstLine="420"/>
        <w:jc w:val="center"/>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spacing w:before="0" w:after="0" w:line="360" w:lineRule="auto"/>
        <w:ind w:firstLine="0"/>
        <w:jc w:val="center"/>
      </w:pPr>
      <w:r>
        <w:rPr>
          <w:rFonts w:ascii="Times New Roman" w:hAnsi="Times New Roman" w:eastAsia="宋体" w:cs="Times New Roman"/>
          <w:b w:val="0"/>
          <w:sz w:val="18"/>
        </w:rPr>
        <w:t>图 4 私有道路数据集上不同方法的可视化检测结果对比</w:t>
      </w:r>
    </w:p>
    <w:p w14:paraId="05E4F2A7">
      <w:pPr>
        <w:keepNext/>
        <w:keepLines w:val="0"/>
        <w:spacing w:before="0" w:after="0" w:line="360" w:lineRule="auto"/>
        <w:ind w:firstLine="0"/>
        <w:jc w:val="center"/>
      </w:pPr>
      <w:r>
        <w:rPr>
          <w:rFonts w:ascii="Times New Roman" w:hAnsi="Times New Roman" w:eastAsia="宋体" w:cs="Times New Roman"/>
          <w:b w:val="0"/>
          <w:sz w:val="18"/>
        </w:rPr>
        <w:t>Fig. 4 Visualization comparison of different methods on the private road-scene dataset</w:t>
      </w:r>
    </w:p>
    <w:p w14:paraId="71CA874C">
      <w:pPr>
        <w:keepNext w:val="0"/>
        <w:keepLines w:val="0"/>
        <w:spacing w:before="0" w:after="60" w:line="240" w:lineRule="auto"/>
        <w:ind w:left="0" w:right="0" w:firstLine="0"/>
        <w:jc w:val="left"/>
      </w:pPr>
      <w:r>
        <w:rPr>
          <w:rFonts w:ascii="Times New Roman" w:hAnsi="Times New Roman" w:eastAsia="宋体" w:cs="Times New Roman"/>
          <w:sz w:val="18"/>
        </w:rPr>
        <w:t>注：白色点表示 LiDAR 点云，绿色三维边界框表示模型预测结果。</w:t>
      </w:r>
    </w:p>
    <w:p w14:paraId="4CC84D24">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3.4 消融实验分析</w:t>
      </w:r>
    </w:p>
    <w:p w14:paraId="3B44428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spacing w:before="0" w:beforeAutospacing="0" w:after="0" w:afterAutospacing="0" w:line="360" w:lineRule="auto"/>
        <w:ind w:firstLine="0"/>
        <w:jc w:val="center"/>
        <w:rPr>
          <w:rFonts w:ascii="Times New Roman" w:hAnsi="Times New Roman" w:eastAsia="Helvetica"/>
          <w:color w:val="333333"/>
          <w:sz w:val="21"/>
          <w:szCs w:val="21"/>
        </w:rPr>
      </w:pPr>
      <w:r>
        <w:rPr>
          <w:rFonts w:ascii="Times New Roman" w:hAnsi="Times New Roman" w:eastAsia="宋体" w:cs="Times New Roman"/>
          <w:b w:val="0"/>
          <w:sz w:val="18"/>
        </w:rPr>
        <w:t>表 3 创新模块消融实验结果（%）</w:t>
      </w:r>
    </w:p>
    <w:p w14:paraId="53677767">
      <w:pPr>
        <w:keepNext/>
        <w:keepLines w:val="0"/>
        <w:spacing w:before="0" w:after="0" w:line="360" w:lineRule="auto"/>
        <w:ind w:firstLine="0"/>
        <w:jc w:val="center"/>
      </w:pPr>
      <w:r>
        <w:rPr>
          <w:rFonts w:ascii="Times New Roman" w:hAnsi="Times New Roman" w:eastAsia="宋体" w:cs="Times New Roman"/>
          <w:b w:val="0"/>
          <w:sz w:val="18"/>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spacing w:before="0" w:after="0" w:line="240" w:lineRule="auto"/>
              <w:ind w:firstLine="0"/>
              <w:jc w:val="center"/>
              <w:rPr>
                <w:rFonts w:hint="default" w:eastAsiaTheme="minorEastAsia"/>
                <w:b/>
                <w:bCs/>
                <w:lang w:val="en-US" w:eastAsia="zh-CN"/>
              </w:rPr>
            </w:pPr>
            <w:r>
              <w:rPr>
                <w:rFonts w:hint="eastAsia" w:ascii="Times New Roman" w:hAnsi="Times New Roman" w:eastAsia="宋体" w:cs="Times New Roman"/>
                <w:b/>
                <w:bCs/>
                <w:sz w:val="18"/>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spacing w:before="0" w:after="0" w:line="240" w:lineRule="auto"/>
              <w:ind w:firstLine="0"/>
              <w:jc w:val="center"/>
              <w:rPr>
                <w:rFonts w:hint="default" w:eastAsiaTheme="minorEastAsia"/>
                <w:lang w:val="en-US" w:eastAsia="zh-CN"/>
              </w:rPr>
            </w:pPr>
            <w:r>
              <w:rPr>
                <w:rFonts w:hint="eastAsia" w:ascii="Times New Roman" w:hAnsi="Times New Roman" w:eastAsia="宋体" w:cs="Times New Roman"/>
                <w:b w:val="0"/>
                <w:sz w:val="18"/>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spacing w:before="0" w:after="0" w:line="240" w:lineRule="auto"/>
              <w:ind w:firstLine="0"/>
              <w:jc w:val="center"/>
            </w:pPr>
            <w:r>
              <w:rPr>
                <w:rFonts w:ascii="Times New Roman" w:hAnsi="Times New Roman" w:eastAsia="宋体" w:cs="Times New Roman"/>
                <w:b w:val="0"/>
                <w:sz w:val="18"/>
              </w:rP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spacing w:before="0" w:after="0" w:line="240" w:lineRule="auto"/>
              <w:ind w:firstLine="0"/>
              <w:jc w:val="center"/>
            </w:pPr>
            <w:r>
              <w:rPr>
                <w:rFonts w:ascii="Times New Roman" w:hAnsi="Times New Roman" w:eastAsia="宋体" w:cs="Times New Roman"/>
                <w:b w:val="0"/>
                <w:sz w:val="18"/>
              </w:rP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spacing w:before="0" w:after="0" w:line="240" w:lineRule="auto"/>
              <w:ind w:firstLine="0"/>
              <w:jc w:val="center"/>
            </w:pPr>
            <w:r>
              <w:rPr>
                <w:rFonts w:hint="eastAsia" w:ascii="Times New Roman" w:hAnsi="Times New Roman" w:eastAsia="宋体" w:cs="Times New Roman"/>
                <w:b w:val="0"/>
                <w:bCs/>
                <w:kern w:val="0"/>
                <w:sz w:val="18"/>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spacing w:before="0" w:after="0" w:line="240" w:lineRule="auto"/>
              <w:ind w:firstLine="0"/>
              <w:jc w:val="center"/>
              <w:rPr>
                <w:b/>
                <w:bCs/>
              </w:rPr>
            </w:pPr>
            <w:r>
              <w:rPr>
                <w:rFonts w:ascii="Times New Roman" w:hAnsi="Times New Roman" w:eastAsia="宋体" w:cs="Times New Roman"/>
                <w:b w:val="0"/>
                <w:sz w:val="18"/>
              </w:rP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spacing w:before="0" w:after="0" w:line="240" w:lineRule="auto"/>
              <w:ind w:firstLine="0"/>
              <w:jc w:val="center"/>
              <w:rPr>
                <w:b/>
                <w:bCs/>
              </w:rPr>
            </w:pPr>
            <w:r>
              <w:rPr>
                <w:rFonts w:hint="eastAsia" w:ascii="Times New Roman" w:hAnsi="Times New Roman" w:eastAsia="宋体" w:cs="Times New Roman"/>
                <w:b w:val="0"/>
                <w:bCs/>
                <w:kern w:val="0"/>
                <w:sz w:val="18"/>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73.55</w:t>
            </w:r>
          </w:p>
        </w:tc>
      </w:tr>
    </w:tbl>
    <w:p w14:paraId="2608D3FF">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3.5 模型效率分析</w:t>
      </w:r>
    </w:p>
    <w:p w14:paraId="3BB99F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spacing w:before="0" w:beforeAutospacing="0" w:after="0" w:afterAutospacing="0" w:line="360" w:lineRule="auto"/>
        <w:ind w:firstLine="0"/>
        <w:jc w:val="center"/>
        <w:rPr>
          <w:rFonts w:ascii="Times New Roman" w:hAnsi="Times New Roman" w:eastAsia="宋体"/>
          <w:b w:val="0"/>
          <w:color w:val="333333"/>
          <w:sz w:val="19"/>
          <w:szCs w:val="21"/>
        </w:rPr>
      </w:pPr>
      <w:r>
        <w:rPr>
          <w:rFonts w:ascii="Times New Roman" w:hAnsi="Times New Roman" w:eastAsia="宋体" w:cs="Times New Roman"/>
          <w:b w:val="0"/>
          <w:sz w:val="18"/>
        </w:rPr>
        <w:t>表 4 模型复杂度与参数效能对比</w:t>
      </w:r>
    </w:p>
    <w:p w14:paraId="4146E86D">
      <w:pPr>
        <w:keepNext/>
        <w:keepLines w:val="0"/>
        <w:spacing w:before="0" w:after="0" w:line="360" w:lineRule="auto"/>
        <w:ind w:firstLine="0"/>
        <w:jc w:val="center"/>
      </w:pPr>
      <w:r>
        <w:rPr>
          <w:rFonts w:ascii="Times New Roman" w:hAnsi="Times New Roman" w:eastAsia="宋体" w:cs="Times New Roman"/>
          <w:b w:val="0"/>
          <w:sz w:val="18"/>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spacing w:before="0" w:after="0" w:line="240" w:lineRule="auto"/>
              <w:ind w:firstLine="0"/>
              <w:jc w:val="center"/>
              <w:rPr>
                <w:b/>
                <w:bCs/>
              </w:rPr>
            </w:pPr>
            <w:r>
              <w:rPr>
                <w:rFonts w:ascii="Times New Roman" w:hAnsi="Times New Roman" w:eastAsia="宋体" w:cs="Times New Roman"/>
                <w:b/>
                <w:kern w:val="0"/>
                <w:sz w:val="18"/>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spacing w:before="0" w:after="0" w:line="240" w:lineRule="auto"/>
              <w:ind w:firstLine="0"/>
              <w:jc w:val="center"/>
            </w:pPr>
            <w:r>
              <w:rPr>
                <w:rFonts w:ascii="Times New Roman" w:hAnsi="Times New Roman" w:eastAsia="宋体" w:cs="Times New Roman"/>
                <w:b w:val="0"/>
                <w:kern w:val="0"/>
                <w:sz w:val="18"/>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spacing w:before="0" w:after="0" w:line="240" w:lineRule="auto"/>
              <w:ind w:firstLine="0"/>
              <w:jc w:val="center"/>
              <w:rPr>
                <w:b/>
                <w:bCs/>
              </w:rPr>
            </w:pPr>
            <w:r>
              <w:rPr>
                <w:rFonts w:ascii="Times New Roman" w:hAnsi="Times New Roman" w:eastAsia="宋体" w:cs="Times New Roman"/>
                <w:b w:val="0"/>
                <w:bCs/>
                <w:kern w:val="0"/>
                <w:sz w:val="18"/>
                <w:lang w:bidi="ar"/>
              </w:rPr>
              <w:t>20.70</w:t>
            </w:r>
          </w:p>
        </w:tc>
      </w:tr>
    </w:tbl>
    <w:p w14:paraId="481467ED">
      <w:pPr>
        <w:pStyle w:val="6"/>
        <w:keepNext/>
        <w:keepLines w:val="0"/>
        <w:widowControl/>
        <w:spacing w:before="0" w:beforeAutospacing="0" w:after="0" w:afterAutospacing="0" w:line="360" w:lineRule="auto"/>
        <w:ind w:firstLine="0"/>
        <w:jc w:val="left"/>
        <w:rPr>
          <w:rFonts w:hint="eastAsia" w:ascii="宋体" w:hAnsi="宋体" w:eastAsia="宋体" w:cs="宋体"/>
          <w:b/>
          <w:bCs/>
          <w:color w:val="333333"/>
        </w:rPr>
      </w:pPr>
      <w:r>
        <w:rPr>
          <w:rFonts w:ascii="Times New Roman" w:hAnsi="Times New Roman" w:eastAsia="宋体" w:cs="Times New Roman"/>
          <w:b/>
          <w:sz w:val="22"/>
        </w:rPr>
        <w:t>3.6 可视化检测结果分析</w:t>
      </w:r>
    </w:p>
    <w:p w14:paraId="51E3C53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hint="eastAsia" w:ascii="Times New Roman" w:hAnsi="Times New Roman" w:eastAsia="宋体" w:cs="Times New Roman"/>
          <w:b w:val="0"/>
          <w:color w:val="333333"/>
          <w:sz w:val="21"/>
        </w:rPr>
        <w:t>为了验证 Point-KAN-3D 在实际道路交通场景中的检测效果，本文从 BEV 全局感知、远距离交通目标识别和模型可解释性三个方面进行可视化分析。</w:t>
      </w:r>
    </w:p>
    <w:p w14:paraId="1D83FE27">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3.6.1 多维对比与困难交通样本分析</w:t>
      </w:r>
    </w:p>
    <w:p w14:paraId="6BB9DA2F">
      <w:pPr>
        <w:pStyle w:val="6"/>
        <w:keepNext w:val="0"/>
        <w:keepLines w:val="0"/>
        <w:widowControl/>
        <w:spacing w:before="0" w:beforeAutospacing="0" w:after="0" w:afterAutospacing="0" w:line="360" w:lineRule="auto"/>
        <w:ind w:firstLine="420"/>
        <w:jc w:val="both"/>
        <w:rPr>
          <w:rFonts w:hint="eastAsia" w:ascii="Times New Roman" w:hAnsi="Times New Roman" w:eastAsia="宋体" w:cs="Times New Roman"/>
          <w:b w:val="0"/>
          <w:sz w:val="21"/>
        </w:rPr>
      </w:pPr>
      <w:r>
        <w:rPr>
          <w:rFonts w:hint="eastAsia" w:ascii="Times New Roman" w:hAnsi="Times New Roman" w:eastAsia="宋体" w:cs="Times New Roman"/>
          <w:b w:val="0"/>
          <w:sz w:val="21"/>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spacing w:before="0" w:beforeAutospacing="0" w:after="0" w:afterAutospacing="0" w:line="360" w:lineRule="auto"/>
        <w:ind w:firstLine="0"/>
        <w:jc w:val="left"/>
        <w:rPr>
          <w:rFonts w:hint="eastAsia" w:ascii="黑体" w:hAnsi="黑体" w:eastAsia="黑体" w:cs="黑体"/>
          <w:color w:val="333333"/>
        </w:rPr>
      </w:pPr>
      <w:r>
        <w:rPr>
          <w:rFonts w:ascii="Times New Roman" w:hAnsi="Times New Roman" w:eastAsia="宋体" w:cs="Times New Roman"/>
          <w:b/>
          <w:sz w:val="22"/>
        </w:rPr>
        <w:t>3.6.2 KAN 架构可解释性分析</w:t>
      </w:r>
    </w:p>
    <w:p w14:paraId="1B91F2F1">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rPr>
      </w:pPr>
      <w:r>
        <w:rPr>
          <w:rFonts w:ascii="Times New Roman" w:hAnsi="Times New Roman" w:eastAsia="宋体" w:cs="Times New Roman"/>
          <w:b w:val="0"/>
          <w:sz w:val="21"/>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spacing w:before="0" w:beforeAutospacing="0" w:after="0" w:afterAutospacing="0" w:line="360" w:lineRule="auto"/>
        <w:ind w:firstLine="420"/>
        <w:jc w:val="both"/>
        <w:rPr>
          <w:rFonts w:ascii="宋体" w:hAnsi="宋体" w:eastAsia="宋体" w:cs="宋体"/>
          <w:sz w:val="24"/>
          <w:szCs w:val="24"/>
        </w:rPr>
      </w:pPr>
      <w:r>
        <w:rPr>
          <w:rFonts w:hint="eastAsia" w:ascii="Times New Roman" w:hAnsi="Times New Roman" w:eastAsia="宋体" w:cs="Times New Roman"/>
          <w:b w:val="0"/>
          <w:color w:val="333333"/>
          <w:sz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spacing w:before="0" w:beforeAutospacing="0" w:after="0" w:afterAutospacing="0" w:line="360" w:lineRule="auto"/>
        <w:ind w:firstLine="420"/>
        <w:jc w:val="both"/>
        <w:rPr>
          <w:rFonts w:hint="eastAsia" w:eastAsia="宋体"/>
          <w:lang w:eastAsia="zh-CN"/>
        </w:rPr>
      </w:pPr>
    </w:p>
    <w:p w14:paraId="54FA8DC2">
      <w:pPr>
        <w:pStyle w:val="6"/>
        <w:keepNext w:val="0"/>
        <w:keepLines w:val="0"/>
        <w:widowControl/>
        <w:spacing w:before="0" w:beforeAutospacing="0" w:after="0" w:afterAutospacing="0" w:line="360" w:lineRule="auto"/>
        <w:jc w:val="both"/>
        <w:rPr>
          <w:rFonts w:hint="eastAsia" w:eastAsia="宋体"/>
          <w:lang w:eastAsia="zh-CN"/>
        </w:rPr>
      </w:pPr>
      <w:bookmarkStart w:id="0" w:name="_GoBack"/>
      <w:r>
        <w:rPr>
          <w:rFonts w:hint="eastAsia" w:eastAsia="宋体"/>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spacing w:before="0" w:beforeAutospacing="0" w:after="0" w:afterAutospacing="0" w:line="360" w:lineRule="auto"/>
        <w:ind w:firstLine="0"/>
        <w:jc w:val="center"/>
        <w:rPr>
          <w:rFonts w:hint="eastAsia" w:ascii="宋体" w:hAnsi="宋体" w:eastAsia="宋体" w:cs="宋体"/>
          <w:b/>
          <w:bCs/>
          <w:color w:val="333333"/>
          <w:sz w:val="21"/>
          <w:szCs w:val="21"/>
        </w:rPr>
      </w:pPr>
      <w:r>
        <w:rPr>
          <w:rFonts w:hint="eastAsia" w:ascii="Times New Roman" w:hAnsi="Times New Roman" w:eastAsia="宋体" w:cs="Times New Roman"/>
          <w:b w:val="0"/>
          <w:bCs/>
          <w:color w:val="333333"/>
          <w:sz w:val="18"/>
          <w:szCs w:val="21"/>
        </w:rPr>
        <w:t>图 5 Point-KAN-3D 算法与基准模型在道路交通场景中的可视化对比</w:t>
      </w:r>
    </w:p>
    <w:p w14:paraId="1C2FC55F">
      <w:pPr>
        <w:pStyle w:val="6"/>
        <w:keepNext/>
        <w:keepLines w:val="0"/>
        <w:widowControl/>
        <w:spacing w:before="0" w:beforeAutospacing="0" w:after="0" w:afterAutospacing="0" w:line="360" w:lineRule="auto"/>
        <w:ind w:firstLine="0"/>
        <w:jc w:val="center"/>
        <w:rPr>
          <w:rFonts w:hint="eastAsia" w:ascii="宋体" w:hAnsi="宋体" w:eastAsia="宋体" w:cs="宋体"/>
          <w:color w:val="333333"/>
          <w:sz w:val="21"/>
          <w:szCs w:val="21"/>
        </w:rPr>
      </w:pPr>
      <w:r>
        <w:rPr>
          <w:rFonts w:hint="eastAsia" w:ascii="Times New Roman" w:hAnsi="Times New Roman" w:eastAsia="宋体" w:cs="Times New Roman"/>
          <w:b w:val="0"/>
          <w:color w:val="333333"/>
          <w:sz w:val="18"/>
          <w:szCs w:val="21"/>
        </w:rPr>
        <w:t>Fig. 5 Visual comparison between Point-KAN-3D and the baseline model in road traffic scenes</w:t>
      </w:r>
    </w:p>
    <w:p w14:paraId="54067FFA">
      <w:pPr>
        <w:pStyle w:val="6"/>
        <w:keepNext/>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4 结论</w:t>
      </w:r>
    </w:p>
    <w:p w14:paraId="18688C3D">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研究结果表明：</w:t>
      </w:r>
    </w:p>
    <w:p w14:paraId="7F89CDB3">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在道路空间表征方面，Sparse KAN-Voxel 编码器利用样条函数的平滑性补偿远距离点云特征断裂。它能够提升大尺度道路空间中的目标定位稳定性。</w:t>
      </w:r>
    </w:p>
    <w:p w14:paraId="33DA8BA6">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hint="eastAsia" w:ascii="Times New Roman" w:hAnsi="Times New Roman" w:eastAsia="宋体" w:cs="Times New Roman"/>
          <w:b w:val="0"/>
          <w:color w:val="333333"/>
          <w:sz w:val="21"/>
          <w:szCs w:val="21"/>
        </w:rP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spacing w:before="0" w:beforeAutospacing="0" w:after="0" w:afterAutospacing="0" w:line="360" w:lineRule="auto"/>
        <w:ind w:firstLine="420"/>
        <w:jc w:val="both"/>
        <w:rPr>
          <w:rFonts w:hint="eastAsia" w:ascii="宋体" w:hAnsi="宋体" w:eastAsia="宋体" w:cs="宋体"/>
          <w:color w:val="333333"/>
          <w:sz w:val="21"/>
          <w:szCs w:val="21"/>
        </w:rPr>
      </w:pPr>
      <w:r>
        <w:rPr>
          <w:rFonts w:ascii="Times New Roman" w:hAnsi="Times New Roman" w:eastAsia="宋体" w:cs="Times New Roman"/>
          <w:b w:val="0"/>
          <w:sz w:val="21"/>
        </w:rP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spacing w:before="0" w:beforeAutospacing="0" w:after="0" w:afterAutospacing="0" w:line="360" w:lineRule="auto"/>
        <w:ind w:firstLine="0"/>
        <w:jc w:val="left"/>
        <w:rPr>
          <w:rFonts w:hint="eastAsia" w:ascii="黑体" w:hAnsi="黑体" w:eastAsia="黑体" w:cs="黑体"/>
          <w:color w:val="333333"/>
          <w:sz w:val="28"/>
          <w:szCs w:val="28"/>
        </w:rPr>
      </w:pPr>
      <w:r>
        <w:rPr>
          <w:rFonts w:ascii="Times New Roman" w:hAnsi="Times New Roman" w:eastAsia="宋体" w:cs="Times New Roman"/>
          <w:b/>
          <w:sz w:val="22"/>
        </w:rPr>
        <w:t>参考文献</w:t>
      </w:r>
    </w:p>
    <w:p w14:paraId="3513C903">
      <w:pPr>
        <w:keepNext w:val="0"/>
        <w:keepLines w:val="0"/>
        <w:spacing w:before="0" w:after="0" w:line="360" w:lineRule="auto"/>
        <w:ind w:left="312" w:firstLine="0"/>
        <w:jc w:val="both"/>
      </w:pPr>
      <w:r>
        <w:rPr>
          <w:rFonts w:ascii="Times New Roman" w:hAnsi="Times New Roman" w:eastAsia="宋体" w:cs="Times New Roman"/>
          <w:b w:val="0"/>
          <w:sz w:val="21"/>
        </w:rPr>
        <w:t>[1] 陈龙, 曹东璞, 汪若尘. 自动驾驶环境感知技术研究进展与展望[J]. 自动化学报, 2021, 47(10): 2291-2305.</w:t>
      </w:r>
    </w:p>
    <w:p w14:paraId="5A848AAA">
      <w:pPr>
        <w:keepNext w:val="0"/>
        <w:keepLines w:val="0"/>
        <w:spacing w:before="0" w:after="0" w:line="360" w:lineRule="auto"/>
        <w:ind w:left="312" w:firstLine="0"/>
        <w:jc w:val="both"/>
      </w:pPr>
      <w:r>
        <w:rPr>
          <w:rFonts w:ascii="Times New Roman" w:hAnsi="Times New Roman" w:eastAsia="宋体" w:cs="Times New Roman"/>
          <w:b w:val="0"/>
          <w:sz w:val="21"/>
        </w:rPr>
        <w:t>CHEN Long, CAO Dongpu, WANG Ruochen. Research progress and prospects of environmental perception technology for autonomous driving[J]. Acta Automatica Sinica, 2021, 47(10): 2291-2305. (in Chinese)</w:t>
      </w:r>
    </w:p>
    <w:p w14:paraId="037C3C86">
      <w:pPr>
        <w:keepNext w:val="0"/>
        <w:keepLines w:val="0"/>
        <w:spacing w:before="0" w:after="0" w:line="360" w:lineRule="auto"/>
        <w:ind w:left="312" w:firstLine="0"/>
        <w:jc w:val="both"/>
      </w:pPr>
      <w:r>
        <w:rPr>
          <w:rFonts w:ascii="Times New Roman" w:hAnsi="Times New Roman" w:eastAsia="宋体" w:cs="Times New Roman"/>
          <w:b w:val="0"/>
          <w:sz w:val="21"/>
        </w:rPr>
        <w:t>[2] 孙锐, 丁晓, 高盛强, 等. 自动驾驶场景下三维目标检测技术综述[J]. 软件学报, 2022, 33(11): 4118-4146.</w:t>
      </w:r>
    </w:p>
    <w:p w14:paraId="788FFD53">
      <w:pPr>
        <w:keepNext w:val="0"/>
        <w:keepLines w:val="0"/>
        <w:spacing w:before="0" w:after="0" w:line="360" w:lineRule="auto"/>
        <w:ind w:left="312" w:firstLine="0"/>
        <w:jc w:val="both"/>
      </w:pPr>
      <w:r>
        <w:rPr>
          <w:rFonts w:ascii="Times New Roman" w:hAnsi="Times New Roman" w:eastAsia="宋体" w:cs="Times New Roman"/>
          <w:b w:val="0"/>
          <w:sz w:val="21"/>
        </w:rPr>
        <w:t>SUN Rui, DING Xiao, GAO Shengqiang, et al. A review of three-dimensional object detection technology in autonomous driving scenes[J]. Journal of Software, 2022, 33(11): 4118-4146. (in Chinese)</w:t>
      </w:r>
    </w:p>
    <w:p w14:paraId="725217A0">
      <w:pPr>
        <w:keepNext w:val="0"/>
        <w:keepLines w:val="0"/>
        <w:spacing w:before="0" w:after="0" w:line="360" w:lineRule="auto"/>
        <w:ind w:left="312" w:firstLine="0"/>
        <w:jc w:val="both"/>
      </w:pPr>
      <w:r>
        <w:rPr>
          <w:rFonts w:ascii="Times New Roman" w:hAnsi="Times New Roman" w:eastAsia="宋体" w:cs="Times New Roman"/>
          <w:b w:val="0"/>
          <w:sz w:val="21"/>
        </w:rP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spacing w:before="0" w:after="0" w:line="360" w:lineRule="auto"/>
        <w:ind w:left="312" w:firstLine="0"/>
        <w:jc w:val="both"/>
      </w:pPr>
      <w:r>
        <w:rPr>
          <w:rFonts w:ascii="Times New Roman" w:hAnsi="Times New Roman" w:eastAsia="宋体" w:cs="Times New Roman"/>
          <w:b w:val="0"/>
          <w:sz w:val="21"/>
        </w:rPr>
        <w:t>[4] 李杰, 赵建辉, 潘勇. 复杂环境下智能车辆环境感知关键技术分析[J]. 机械工程学报, 2023, 59(12): 185-201.</w:t>
      </w:r>
    </w:p>
    <w:p w14:paraId="339B089F">
      <w:pPr>
        <w:keepNext w:val="0"/>
        <w:keepLines w:val="0"/>
        <w:spacing w:before="0" w:after="0" w:line="360" w:lineRule="auto"/>
        <w:ind w:left="312" w:firstLine="0"/>
        <w:jc w:val="both"/>
      </w:pPr>
      <w:r>
        <w:rPr>
          <w:rFonts w:ascii="Times New Roman" w:hAnsi="Times New Roman" w:eastAsia="宋体" w:cs="Times New Roman"/>
          <w:b w:val="0"/>
          <w:sz w:val="21"/>
        </w:rPr>
        <w:t>LI Jie, ZHAO Jianhui, PAN Yong. Analysis of key environmental perception technologies for intelligent vehicles in complex environments[J]. Journal of Mechanical Engineering, 2023, 59(12): 185-201. (in Chinese)</w:t>
      </w:r>
    </w:p>
    <w:p w14:paraId="2D4D4B14">
      <w:pPr>
        <w:keepNext w:val="0"/>
        <w:keepLines w:val="0"/>
        <w:spacing w:before="0" w:after="0" w:line="360" w:lineRule="auto"/>
        <w:ind w:left="312" w:firstLine="0"/>
        <w:jc w:val="both"/>
      </w:pPr>
      <w:r>
        <w:rPr>
          <w:rFonts w:ascii="Times New Roman" w:hAnsi="Times New Roman" w:eastAsia="宋体" w:cs="Times New Roman"/>
          <w:b w:val="0"/>
          <w:sz w:val="21"/>
        </w:rPr>
        <w:t>[5] QI C R, SU H, MO K, et al. PointNet: Deep learning on point sets for 3D classification and segmentation[C]//Proc of the IEEE Conf on Computer Vision and Pattern Recognition. 2017: 652-660.</w:t>
      </w:r>
    </w:p>
    <w:p w14:paraId="6479424D">
      <w:pPr>
        <w:keepNext w:val="0"/>
        <w:keepLines w:val="0"/>
        <w:spacing w:before="0" w:after="0" w:line="360" w:lineRule="auto"/>
        <w:ind w:left="312" w:firstLine="0"/>
        <w:jc w:val="both"/>
      </w:pPr>
      <w:r>
        <w:rPr>
          <w:rFonts w:ascii="Times New Roman" w:hAnsi="Times New Roman" w:eastAsia="宋体" w:cs="Times New Roman"/>
          <w:b w:val="0"/>
          <w:sz w:val="21"/>
        </w:rPr>
        <w:t>[6] 王宇航, 郭裕兰, 宁纪锋, 等. 深度学习在三维点云处理中的应用综述[J]. 计算机学报, 2024, 47(2): 315-342.</w:t>
      </w:r>
    </w:p>
    <w:p w14:paraId="20F81B54">
      <w:pPr>
        <w:keepNext w:val="0"/>
        <w:keepLines w:val="0"/>
        <w:spacing w:before="0" w:after="0" w:line="360" w:lineRule="auto"/>
        <w:ind w:left="312" w:firstLine="0"/>
        <w:jc w:val="both"/>
      </w:pPr>
      <w:r>
        <w:rPr>
          <w:rFonts w:ascii="Times New Roman" w:hAnsi="Times New Roman" w:eastAsia="宋体" w:cs="Times New Roman"/>
          <w:b w:val="0"/>
          <w:sz w:val="21"/>
        </w:rPr>
        <w:t>WANG Yuhang, GUO Yulan, NING Jifeng, et al. A review of deep learning applications in three-dimensional point cloud processing[J]. Chinese Journal of Computers, 2024, 47(2): 315-342. (in Chinese)</w:t>
      </w:r>
    </w:p>
    <w:p w14:paraId="091310FB">
      <w:pPr>
        <w:keepNext w:val="0"/>
        <w:keepLines w:val="0"/>
        <w:spacing w:before="0" w:after="0" w:line="360" w:lineRule="auto"/>
        <w:ind w:left="312" w:firstLine="0"/>
        <w:jc w:val="both"/>
      </w:pPr>
      <w:r>
        <w:rPr>
          <w:rFonts w:ascii="Times New Roman" w:hAnsi="Times New Roman" w:eastAsia="宋体" w:cs="Times New Roman"/>
          <w:b w:val="0"/>
          <w:sz w:val="21"/>
        </w:rPr>
        <w:t>[7] LANG A H, VORA S, CAESAR H, et al. PointPillars: Fast encoders for object detection from point clouds[C]//Proc of the IEEE/CVF Conf on Computer Vision and Pattern Recognition. 2019: 12697-12705.</w:t>
      </w:r>
    </w:p>
    <w:p w14:paraId="3C8E55CA">
      <w:pPr>
        <w:keepNext w:val="0"/>
        <w:keepLines w:val="0"/>
        <w:spacing w:before="0" w:after="0" w:line="360" w:lineRule="auto"/>
        <w:ind w:left="312" w:firstLine="0"/>
        <w:jc w:val="both"/>
      </w:pPr>
      <w:r>
        <w:rPr>
          <w:rFonts w:ascii="Times New Roman" w:hAnsi="Times New Roman" w:eastAsia="宋体" w:cs="Times New Roman"/>
          <w:b w:val="0"/>
          <w:sz w:val="21"/>
        </w:rPr>
        <w:t>[8] YAN Y, MAO Y, LI B. SECOND: Sparsely embedded convolutional detection[J]. Sensors, 2018, 18(10): 3337.</w:t>
      </w:r>
    </w:p>
    <w:p w14:paraId="1A3B5217">
      <w:pPr>
        <w:keepNext w:val="0"/>
        <w:keepLines w:val="0"/>
        <w:spacing w:before="0" w:after="0" w:line="360" w:lineRule="auto"/>
        <w:ind w:left="312" w:firstLine="0"/>
        <w:jc w:val="both"/>
      </w:pPr>
      <w:r>
        <w:rPr>
          <w:rFonts w:ascii="Times New Roman" w:hAnsi="Times New Roman" w:eastAsia="宋体" w:cs="Times New Roman"/>
          <w:b w:val="0"/>
          <w:sz w:val="21"/>
        </w:rPr>
        <w:t>[9] SHI S, GUO Z, JIANG L, et al. PV-RCNN: Point-voxel feature set abstraction for 3D object detection[C]//Proc of the IEEE/CVF Conf on Computer Vision and Pattern Recognition. 2020: 10529-10538.</w:t>
      </w:r>
    </w:p>
    <w:p w14:paraId="2812A2E2">
      <w:pPr>
        <w:keepNext w:val="0"/>
        <w:keepLines w:val="0"/>
        <w:spacing w:before="0" w:after="0" w:line="360" w:lineRule="auto"/>
        <w:ind w:left="312" w:firstLine="0"/>
        <w:jc w:val="both"/>
      </w:pPr>
      <w:r>
        <w:rPr>
          <w:rFonts w:ascii="Times New Roman" w:hAnsi="Times New Roman" w:eastAsia="宋体" w:cs="Times New Roman"/>
          <w:b w:val="0"/>
          <w:sz w:val="21"/>
        </w:rPr>
        <w:t>[10] YIN T, ZHOU X, KRAHENBUHL P. Center-based 3D object detection and tracking[C]//Proc of the IEEE/CVF Conf on Computer Vision and Pattern Recognition. 2021: 11784-11793.</w:t>
      </w:r>
    </w:p>
    <w:p w14:paraId="5174B09F">
      <w:pPr>
        <w:keepNext w:val="0"/>
        <w:keepLines w:val="0"/>
        <w:spacing w:before="0" w:after="0" w:line="360" w:lineRule="auto"/>
        <w:ind w:left="312" w:firstLine="0"/>
        <w:jc w:val="both"/>
      </w:pPr>
      <w:r>
        <w:rPr>
          <w:rFonts w:ascii="Times New Roman" w:hAnsi="Times New Roman" w:eastAsia="宋体" w:cs="Times New Roman"/>
          <w:b w:val="0"/>
          <w:sz w:val="21"/>
        </w:rPr>
        <w:t>[11] VASWANI A, SHAZEER N, PARMAR N, et al. Attention is all you need[C]//Proc of the 31st International Conf on Neural Information Processing Systems. 2017: 5998-6008.</w:t>
      </w:r>
    </w:p>
    <w:p w14:paraId="32B4FBB0">
      <w:pPr>
        <w:keepNext w:val="0"/>
        <w:keepLines w:val="0"/>
        <w:spacing w:before="0" w:after="0" w:line="360" w:lineRule="auto"/>
        <w:ind w:left="312" w:firstLine="0"/>
        <w:jc w:val="both"/>
      </w:pPr>
      <w:r>
        <w:rPr>
          <w:rFonts w:ascii="Times New Roman" w:hAnsi="Times New Roman" w:eastAsia="宋体" w:cs="Times New Roman"/>
          <w:b w:val="0"/>
          <w:sz w:val="21"/>
        </w:rPr>
        <w:t>[12] MISRA I, GIRDHAR R, JOULIN A. An end-to-end transformer model for 3D object detection[C]//Proc of the IEEE/CVF International Conf on Computer Vision. 2021: 2906-2917.</w:t>
      </w:r>
    </w:p>
    <w:p w14:paraId="31BF0A7A">
      <w:pPr>
        <w:keepNext w:val="0"/>
        <w:keepLines w:val="0"/>
        <w:spacing w:before="0" w:after="0" w:line="360" w:lineRule="auto"/>
        <w:ind w:left="312" w:firstLine="0"/>
        <w:jc w:val="both"/>
      </w:pPr>
      <w:r>
        <w:rPr>
          <w:rFonts w:ascii="Times New Roman" w:hAnsi="Times New Roman" w:eastAsia="宋体" w:cs="Times New Roman"/>
          <w:b w:val="0"/>
          <w:sz w:val="21"/>
        </w:rPr>
        <w:t>[13] 胡钊政, 李杰, 郑顺林, 等. 复杂场景下三维目标检测的研究进展[J]. 中国图象图形学报, 2022, 27(6): 1655-1678.</w:t>
      </w:r>
    </w:p>
    <w:p w14:paraId="5D025C89">
      <w:pPr>
        <w:keepNext w:val="0"/>
        <w:keepLines w:val="0"/>
        <w:spacing w:before="0" w:after="0" w:line="360" w:lineRule="auto"/>
        <w:ind w:left="312" w:firstLine="0"/>
        <w:jc w:val="both"/>
      </w:pPr>
      <w:r>
        <w:rPr>
          <w:rFonts w:ascii="Times New Roman" w:hAnsi="Times New Roman" w:eastAsia="宋体" w:cs="Times New Roman"/>
          <w:b w:val="0"/>
          <w:sz w:val="21"/>
        </w:rPr>
        <w:t>HU Zhaozheng, LI Jie, ZHENG Shunlin, et al. Research progress of three-dimensional object detection in complex scenes[J]. Journal of Image and Graphics, 2022, 27(6): 1655-1678. (in Chinese)</w:t>
      </w:r>
    </w:p>
    <w:p w14:paraId="297228A5">
      <w:pPr>
        <w:keepNext w:val="0"/>
        <w:keepLines w:val="0"/>
        <w:spacing w:before="0" w:after="0" w:line="360" w:lineRule="auto"/>
        <w:ind w:left="312" w:firstLine="0"/>
        <w:jc w:val="both"/>
      </w:pPr>
      <w:r>
        <w:rPr>
          <w:rFonts w:ascii="Times New Roman" w:hAnsi="Times New Roman" w:eastAsia="宋体" w:cs="Times New Roman"/>
          <w:b w:val="0"/>
          <w:sz w:val="21"/>
        </w:rPr>
        <w:t>[14] GEIGER A, LENZ P, URTASUN R. Are we ready for autonomous driving? The KITTI vision benchmark suite[C]//Proc of the IEEE Conf on Computer Vision and Pattern Recognition. 2012: 3354-3361.</w:t>
      </w:r>
    </w:p>
    <w:p w14:paraId="22D2DA5B">
      <w:pPr>
        <w:keepNext w:val="0"/>
        <w:keepLines w:val="0"/>
        <w:spacing w:before="0" w:after="0" w:line="360" w:lineRule="auto"/>
        <w:ind w:left="312" w:firstLine="0"/>
        <w:jc w:val="both"/>
      </w:pPr>
      <w:r>
        <w:t>[15] LIU Z, WANG Y, VAIDYA S, RUEHLE F, HALVERSON J, SOLJACIC M, et al. KAN: Kolmogorov-Arnold Networks[EB/OL]. arXiv:2404.19756, 2024.</w:t>
      </w:r>
    </w:p>
    <w:p w14:paraId="7A23E673">
      <w:pPr>
        <w:keepNext w:val="0"/>
        <w:keepLines w:val="0"/>
        <w:spacing w:before="0" w:after="0" w:line="360" w:lineRule="auto"/>
        <w:ind w:left="312" w:firstLine="0"/>
        <w:jc w:val="both"/>
      </w:pPr>
      <w:r>
        <w:rPr>
          <w:rFonts w:ascii="Times New Roman" w:hAnsi="Times New Roman" w:eastAsia="宋体" w:cs="Times New Roman"/>
          <w:b w:val="0"/>
          <w:sz w:val="21"/>
        </w:rPr>
        <w:t>[16] DENG J, SHI S, LI P, et al. Voxel R-CNN: Towards high performance voxel-based 3D object detection[C]//Proc of the AAAI Conf on Artificial Intelligence. 2021: 1201-1209.</w:t>
      </w:r>
    </w:p>
    <w:p w14:paraId="1FD5E5F7">
      <w:pPr>
        <w:keepNext w:val="0"/>
        <w:keepLines w:val="0"/>
        <w:spacing w:before="0" w:after="0" w:line="360" w:lineRule="auto"/>
        <w:ind w:left="312" w:firstLine="0"/>
        <w:jc w:val="both"/>
      </w:pPr>
      <w:r>
        <w:rPr>
          <w:rFonts w:ascii="Times New Roman" w:hAnsi="Times New Roman" w:eastAsia="宋体" w:cs="Times New Roman"/>
          <w:b w:val="0"/>
          <w:sz w:val="21"/>
        </w:rPr>
        <w:t>[17] YANG Z, SUN Y, LIU S, JIA J. 3DSSD: Point-based 3D single stage object detector[C]//Proc of the IEEE/CVF Conf on Computer Vision and Pattern Recognition. 2020: 11040-11048.</w:t>
      </w:r>
    </w:p>
    <w:p w14:paraId="6E354CDD">
      <w:pPr>
        <w:keepNext w:val="0"/>
        <w:keepLines w:val="0"/>
        <w:spacing w:before="0" w:after="0" w:line="360" w:lineRule="auto"/>
        <w:ind w:left="312" w:firstLine="0"/>
        <w:jc w:val="both"/>
      </w:pPr>
      <w:r>
        <w:rPr>
          <w:rFonts w:ascii="Times New Roman" w:hAnsi="Times New Roman" w:eastAsia="宋体" w:cs="Times New Roman"/>
          <w:b w:val="0"/>
          <w:sz w:val="21"/>
        </w:rPr>
        <w:t>[18] KOLMOGOROV A N. On the representation of continuous functions of many variables by superposition of continuous functions of one variable and addition[J]. Doklady Akademii Nauk SSSR, 1957, 114(5): 953-956.</w:t>
      </w:r>
    </w:p>
    <w:p w14:paraId="2D93748A">
      <w:pPr>
        <w:keepNext w:val="0"/>
        <w:keepLines w:val="0"/>
        <w:spacing w:before="0" w:after="0" w:line="360" w:lineRule="auto"/>
        <w:ind w:left="312" w:firstLine="0"/>
        <w:jc w:val="both"/>
      </w:pPr>
      <w:r>
        <w:rPr>
          <w:rFonts w:ascii="Times New Roman" w:hAnsi="Times New Roman" w:eastAsia="宋体" w:cs="Times New Roman"/>
          <w:b w:val="0"/>
          <w:sz w:val="21"/>
        </w:rPr>
        <w:t>[19] BRESSON R, NIKOLENTZOS G, PANAGOPOULOS G, CHATZIANASTASIS M, PANG J, VAZIRGIANNIS M. KAGNNs: Kolmogorov-Arnold Networks meet graph learning[EB/OL]. arXiv preprint arXiv:2406.18380, 2024.</w:t>
      </w:r>
    </w:p>
    <w:p w14:paraId="58A86A25">
      <w:pPr>
        <w:keepNext w:val="0"/>
        <w:keepLines w:val="0"/>
        <w:spacing w:before="0" w:after="0" w:line="360" w:lineRule="auto"/>
        <w:ind w:left="312" w:firstLine="0"/>
        <w:jc w:val="both"/>
      </w:pPr>
      <w:r>
        <w:rPr>
          <w:rFonts w:ascii="Times New Roman" w:hAnsi="Times New Roman" w:eastAsia="宋体" w:cs="Times New Roman"/>
          <w:b w:val="0"/>
          <w:sz w:val="21"/>
        </w:rPr>
        <w:t>[20] LIVIERIS I E. C-KAN: A new approach for integrating convolutional layers with Kolmogorov-Arnold Networks for time-series forecasting[J]. Mathematics, 2024, 12(19): 3022.</w:t>
      </w:r>
    </w:p>
    <w:p w14:paraId="3370EF25">
      <w:pPr>
        <w:keepNext w:val="0"/>
        <w:keepLines w:val="0"/>
        <w:spacing w:before="0" w:after="0" w:line="360" w:lineRule="auto"/>
        <w:ind w:left="312" w:firstLine="0"/>
        <w:jc w:val="both"/>
      </w:pPr>
      <w:r>
        <w:rPr>
          <w:rFonts w:ascii="Times New Roman" w:hAnsi="Times New Roman" w:eastAsia="宋体" w:cs="Times New Roman"/>
          <w:b w:val="0"/>
          <w:sz w:val="21"/>
        </w:rPr>
        <w:t>[21] FIRSOV N, MYASNIKOV E, LOBANOV V, KHABIBULLIN R, KAZANSKIY N, KHONINA S, et al. HyperKAN: Kolmogorov-Arnold Networks make hyperspectral image classifiers smarter[J]. Sensors, 2024, 24(23): 7683.</w:t>
      </w:r>
    </w:p>
    <w:p w14:paraId="7F39F5FF">
      <w:pPr>
        <w:keepNext w:val="0"/>
        <w:keepLines w:val="0"/>
        <w:spacing w:before="0" w:after="0" w:line="360" w:lineRule="auto"/>
        <w:ind w:left="312" w:firstLine="0"/>
        <w:jc w:val="both"/>
      </w:pPr>
      <w:r>
        <w:rPr>
          <w:rFonts w:ascii="Times New Roman" w:hAnsi="Times New Roman" w:eastAsia="宋体" w:cs="Times New Roman"/>
          <w:b w:val="0"/>
          <w:sz w:val="21"/>
        </w:rPr>
        <w:t>[22] WU W, QI Z, LI F. PointConv: Deep convolutional networks on 3D point clouds[C]//Proc of the IEEE/CVF Conf on Computer Vision and Pattern Recognition. 2019: 9621-9630.</w:t>
      </w:r>
    </w:p>
    <w:p w14:paraId="630EDCCD">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[23] PIEGL L, TILLER W. The NURBS book[M]. 2nd Edition. New York: Springer, 1997: 81-120.</w:t>
      </w:r>
    </w:p>
    <w:p w14:paraId="37CA8D19">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[24] QI C R, YI L, SU H, GUIBAS L J. PointNet++: Deep hierarchical feature learning on point sets in a metric space[C]//Advances in Neural Information Processing Systems. 2017: 5099-5108.</w:t>
      </w:r>
    </w:p>
    <w:p w14:paraId="167010EF">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[25] ZHOU Y, TUZEL O. VoxelNet: End-to-end learning for point cloud based 3D object detection[C]//Proc of the IEEE Conf on Computer Vision and Pattern Recognition. 2018: 4490-4499.</w:t>
      </w:r>
    </w:p>
    <w:p w14:paraId="2CA116DE">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[26] OPENPCDET DEVELOPMENT TEAM. OpenPCDet: An open-source toolbox for 3D object detection from point clouds[EB/OL]. (2020)[2024-05-10]. https://github.com/open-mmlab/OpenPCDet.</w:t>
      </w:r>
    </w:p>
    <w:p w14:paraId="3C4CB756">
      <w:pPr>
        <w:keepNext w:val="0"/>
        <w:keepLines w:val="0"/>
        <w:spacing w:before="0" w:after="0" w:line="360" w:lineRule="auto"/>
        <w:ind w:left="312" w:firstLine="0"/>
        <w:jc w:val="both"/>
        <w:rPr>
          <w:rFonts w:ascii="Times New Roman" w:hAnsi="Times New Roman" w:eastAsia="宋体" w:cs="Times New Roman"/>
          <w:b w:val="0"/>
          <w:sz w:val="21"/>
        </w:rPr>
      </w:pPr>
      <w:r>
        <w:rPr>
          <w:rFonts w:ascii="Times New Roman" w:hAnsi="Times New Roman" w:eastAsia="宋体" w:cs="Times New Roman"/>
          <w:b w:val="0"/>
          <w:sz w:val="21"/>
        </w:rP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eastAsia="黑体;SimHei"/>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rFont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