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Final</w:t>
      </w:r>
      <w:r>
        <w:t xml:space="preserve"> </w:t>
      </w:r>
      <w:r>
        <w:t xml:space="preserve">Piloto</w:t>
      </w:r>
      <w:r>
        <w:t xml:space="preserve"> </w:t>
      </w:r>
      <w:r>
        <w:t xml:space="preserve">PrEP</w:t>
      </w:r>
      <w:r>
        <w:t xml:space="preserve"> </w:t>
      </w:r>
      <w:r>
        <w:t xml:space="preserve">Colombia</w:t>
      </w:r>
    </w:p>
    <w:p>
      <w:pPr>
        <w:pStyle w:val="Author"/>
      </w:pPr>
      <w:r>
        <w:t xml:space="preserve">OPS,</w:t>
      </w:r>
      <w:r>
        <w:t xml:space="preserve"> </w:t>
      </w:r>
      <w:r>
        <w:t xml:space="preserve">PNUD</w:t>
      </w:r>
    </w:p>
    <w:p>
      <w:pPr>
        <w:pStyle w:val="Date"/>
      </w:pPr>
      <w:r>
        <w:t xml:space="preserve">24/6/2021</w:t>
      </w:r>
    </w:p>
    <w:bookmarkStart w:id="37" w:name="prep-uptake"/>
    <w:p>
      <w:pPr>
        <w:pStyle w:val="Heading2"/>
      </w:pPr>
      <w:r>
        <w:t xml:space="preserve">1. PrEP uptake</w:t>
      </w:r>
    </w:p>
    <w:bookmarkStart w:id="20" w:name="prep-uptake---indicador-clave"/>
    <w:p>
      <w:pPr>
        <w:pStyle w:val="Heading3"/>
      </w:pPr>
      <w:r>
        <w:t xml:space="preserve">1.1 PrEP uptake - indicador clave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personas que iniciaron PrEP en los últimos 12 meses.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número de personas a los que se les ofreció</w:t>
      </w:r>
      <w:r>
        <w:t xml:space="preserve"> </w:t>
      </w:r>
      <w:r>
        <w:t xml:space="preserve">“</w:t>
      </w:r>
      <w:r>
        <w:t xml:space="preserve">de novo</w:t>
      </w:r>
      <w:r>
        <w:t xml:space="preserve">”</w:t>
      </w:r>
      <w:r>
        <w:t xml:space="preserve"> </w:t>
      </w:r>
      <w:r>
        <w:t xml:space="preserve">la PrEP en los últimos 12 meses (Número de potenciales candidatos en alto rieso).</w:t>
      </w:r>
    </w:p>
    <w:p>
      <w:pPr>
        <w:pStyle w:val="TableCaption"/>
      </w:pPr>
      <w:r>
        <w:t xml:space="preserve">PrEP uptake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7.14%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7.14%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14.71%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14.54%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2,054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18.40%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2,078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18.48%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50 o 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30.95%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3,179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16.89%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24.32%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3,216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16.98%</w:t>
            </w:r>
          </w:p>
        </w:tc>
      </w:tr>
    </w:tbl>
    <w:bookmarkEnd w:id="20"/>
    <w:bookmarkStart w:id="21" w:name="Xdd850824f027699fa1b2480278bdef3741f3d5a"/>
    <w:p>
      <w:pPr>
        <w:pStyle w:val="Heading3"/>
      </w:pPr>
      <w:r>
        <w:t xml:space="preserve">1.2 Número de personas que respondieron la encuesta y obtuvieron una cita con el educador comunitario?.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personas que tuvieron cita de asesoria.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número de personas a los que se les ofreció</w:t>
      </w:r>
      <w:r>
        <w:t xml:space="preserve"> </w:t>
      </w:r>
      <w:r>
        <w:t xml:space="preserve">“</w:t>
      </w:r>
      <w:r>
        <w:t xml:space="preserve">de novo</w:t>
      </w:r>
      <w:r>
        <w:t xml:space="preserve">”</w:t>
      </w:r>
      <w:r>
        <w:t xml:space="preserve"> </w:t>
      </w:r>
      <w:r>
        <w:t xml:space="preserve">la PrEP en los últimos 12 meses (Número de personas que aprobaron la encuesta).</w:t>
      </w:r>
    </w:p>
    <w:p>
      <w:pPr>
        <w:pStyle w:val="TableCaption"/>
      </w:pPr>
      <w:r>
        <w:t xml:space="preserve">Número de personas que respondieron la encuesta y obtuvieron una cita con el educador comunitario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8.57%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8.57%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16.51%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9.09%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16.42%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2,054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19.28%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29.17%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2,078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19.39%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50 o 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28.57%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3,179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18.06%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27.03%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3,216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18.16%</w:t>
            </w:r>
          </w:p>
        </w:tc>
      </w:tr>
    </w:tbl>
    <w:bookmarkEnd w:id="21"/>
    <w:bookmarkStart w:id="22" w:name="X5fb748c094134d713f5b9fa7e0b341d531bc0a6"/>
    <w:p>
      <w:pPr>
        <w:pStyle w:val="Heading3"/>
      </w:pPr>
      <w:r>
        <w:t xml:space="preserve">1.3 Número y % de los que tuvieron una cita con el educador y que pasaron a cita medica.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personas que iniciaron PrEP en los últimos 12 meses.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Número de personas que obtuvieron cita de asesoria.</w:t>
      </w:r>
    </w:p>
    <w:p>
      <w:pPr>
        <w:pStyle w:val="TableCaption"/>
      </w:pPr>
      <w:r>
        <w:t xml:space="preserve">Número y % de los que tuvieron una cita con el educador y que pasaron a cita medica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83.33%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83.33%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89.10%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88.54%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95.45%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85.71%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95.29%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50 o 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108.33%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93.55%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93.49%</w:t>
            </w:r>
          </w:p>
        </w:tc>
      </w:tr>
    </w:tbl>
    <w:bookmarkEnd w:id="22"/>
    <w:bookmarkStart w:id="25" w:name="X1ab48bda0947f6343a9bbd3764725f3629d2602"/>
    <w:p>
      <w:pPr>
        <w:pStyle w:val="Heading3"/>
      </w:pPr>
      <w:r>
        <w:t xml:space="preserve">1.4 Numero de personas que recibieron consulta medica de primera vez.</w:t>
      </w:r>
    </w:p>
    <w:bookmarkStart w:id="23" w:name="por-rango-de-edad-y-población"/>
    <w:p>
      <w:pPr>
        <w:pStyle w:val="Heading4"/>
      </w:pPr>
      <w:r>
        <w:t xml:space="preserve">1.4.1 Por rango de edad y población</w:t>
      </w:r>
    </w:p>
    <w:p>
      <w:pPr>
        <w:pStyle w:val="TableCaption"/>
      </w:pPr>
      <w:r>
        <w:t xml:space="preserve">Número de personas que recibieron consulta medica de primera vez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1.86%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1.83%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25.88%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25.46%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70.39%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66.67%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70.33%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50 o 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1.86%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33.33%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2.38%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</w:tbl>
    <w:bookmarkEnd w:id="23"/>
    <w:bookmarkStart w:id="24" w:name="por-institución-y-brazo"/>
    <w:p>
      <w:pPr>
        <w:pStyle w:val="Heading4"/>
      </w:pPr>
      <w:r>
        <w:t xml:space="preserve">1.4.2 Por institución y brazo</w:t>
      </w:r>
    </w:p>
    <w:p>
      <w:pPr>
        <w:pStyle w:val="TableCaption"/>
      </w:pPr>
      <w:r>
        <w:t xml:space="preserve">Número de personas que recibieron consulta medica de primera vez por institución y brazo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15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Brazo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Profamilia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SIES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18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Particular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16.07%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15.79%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15.93%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Subsidiado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83.93%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84.21%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84.07%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</w:tbl>
    <w:bookmarkEnd w:id="24"/>
    <w:bookmarkEnd w:id="25"/>
    <w:bookmarkStart w:id="32" w:name="X69eee9b7b798f1f388af969b88009366051775c"/>
    <w:p>
      <w:pPr>
        <w:pStyle w:val="Heading3"/>
      </w:pPr>
      <w:r>
        <w:t xml:space="preserve">1.5 Número y % de personas que tuvieron algún resultado patológico en la primera consulta , desagregado por tipo de examen (sífilis, hepatitis B, hepatitis C)</w:t>
      </w:r>
    </w:p>
    <w:bookmarkStart w:id="27" w:name="sífilis"/>
    <w:p>
      <w:pPr>
        <w:pStyle w:val="Heading4"/>
      </w:pPr>
      <w:r>
        <w:t xml:space="preserve">1.5.1 Sífilis</w:t>
      </w:r>
    </w:p>
    <w:p>
      <w:pPr>
        <w:pStyle w:val="TableCaption"/>
      </w:pPr>
      <w:r>
        <w:t xml:space="preserve">Número y % de personas que en la primera consulta tuvieron resultado reactivo en la Prueba de Sífilis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10.00%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25.90%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25.90%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30.95%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33.33%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30.99%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50 o 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66.67%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30.77%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29.05%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44.44%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29.30%</w:t>
            </w:r>
          </w:p>
        </w:tc>
      </w:tr>
    </w:tbl>
    <w:bookmarkStart w:id="26" w:name="clasificación-de-sifilis"/>
    <w:p>
      <w:pPr>
        <w:pStyle w:val="Heading5"/>
      </w:pPr>
      <w:r>
        <w:t xml:space="preserve">Clasificación de sifilis</w:t>
      </w:r>
    </w:p>
    <w:p>
      <w:pPr>
        <w:pStyle w:val="TableCaption"/>
      </w:pPr>
      <w:r>
        <w:t xml:space="preserve">Número y % de pruebas de Sífilis reactivas por estadio y población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Estadios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18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Número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Número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Número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Temprana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29.49%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29.38%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Latente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36.54%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36.88%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Tardia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33.97%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33.75%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</w:tbl>
    <w:p>
      <w:pPr>
        <w:pStyle w:val="BodyText"/>
      </w:pPr>
      <w:r>
        <w:rPr>
          <w:iCs/>
          <w:i/>
        </w:rPr>
        <w:t xml:space="preserve">La categoría Latente agrupa latente temprana y latente tardía</w:t>
      </w:r>
    </w:p>
    <w:bookmarkEnd w:id="26"/>
    <w:bookmarkEnd w:id="27"/>
    <w:bookmarkStart w:id="28" w:name="hepatitis-b"/>
    <w:p>
      <w:pPr>
        <w:pStyle w:val="Heading4"/>
      </w:pPr>
      <w:r>
        <w:t xml:space="preserve">1.5.2 Hepatitis B</w:t>
      </w:r>
    </w:p>
    <w:p>
      <w:pPr>
        <w:pStyle w:val="FirstParagraph"/>
      </w:pPr>
      <w:r>
        <w:t xml:space="preserve">debido a que solo se ha identificado 1 un caso de Hepatitis B no se muestra una tabal de desagregación</w:t>
      </w:r>
    </w:p>
    <w:bookmarkEnd w:id="28"/>
    <w:bookmarkStart w:id="29" w:name="hepatitis-c"/>
    <w:p>
      <w:pPr>
        <w:pStyle w:val="Heading4"/>
      </w:pPr>
      <w:r>
        <w:t xml:space="preserve">1.5.3 Hepatitis C</w:t>
      </w:r>
    </w:p>
    <w:p>
      <w:pPr>
        <w:pStyle w:val="FirstParagraph"/>
      </w:pPr>
      <w:r>
        <w:t xml:space="preserve">debido a que solo se han identificado 6 casos de Hepatitis C no se muestra una tabal de desagregación</w:t>
      </w:r>
    </w:p>
    <w:bookmarkEnd w:id="29"/>
    <w:bookmarkStart w:id="30" w:name="síntomas-de-clamidia"/>
    <w:p>
      <w:pPr>
        <w:pStyle w:val="Heading4"/>
      </w:pPr>
      <w:r>
        <w:t xml:space="preserve">1.5.4 Síntomas de Clamidia</w:t>
      </w:r>
    </w:p>
    <w:p>
      <w:pPr>
        <w:pStyle w:val="FirstParagraph"/>
      </w:pPr>
      <w:r>
        <w:t xml:space="preserve">debido a que no se identificó ningun ( 0) reporte de sintomas de Clamidia en el formulario inicial, no se muestra tabla</w:t>
      </w:r>
    </w:p>
    <w:bookmarkEnd w:id="30"/>
    <w:bookmarkStart w:id="31" w:name="síntomas-de-gonorrea"/>
    <w:p>
      <w:pPr>
        <w:pStyle w:val="Heading4"/>
      </w:pPr>
      <w:r>
        <w:t xml:space="preserve">1.5.5 Síntomas de Gonorrea</w:t>
      </w:r>
    </w:p>
    <w:p>
      <w:pPr>
        <w:pStyle w:val="FirstParagraph"/>
      </w:pPr>
      <w:r>
        <w:t xml:space="preserve">debido a que no se identificó ningun (0) reporte de sintomas de Gonorrea en el formulario inicial, no se muestra tabla</w:t>
      </w:r>
    </w:p>
    <w:bookmarkEnd w:id="31"/>
    <w:bookmarkEnd w:id="32"/>
    <w:bookmarkStart w:id="33" w:name="X81582ede3f42563672f6eb8fa44c0ac08f5aa35"/>
    <w:p>
      <w:pPr>
        <w:pStyle w:val="Heading3"/>
      </w:pPr>
      <w:r>
        <w:t xml:space="preserve">1.6 Número y % de personas que asistieron a la primera cita de control del primer mes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personas que asisiteron ala cita de control del primer mes.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Número de personas que iniciaron PrEP en los últimos 12 meses.</w:t>
      </w:r>
    </w:p>
    <w:p>
      <w:pPr>
        <w:pStyle w:val="TableCaption"/>
      </w:pPr>
      <w:r>
        <w:t xml:space="preserve">Número y % de personas que asistieron a la primera cita de control del primer mes,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97.84%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97.84%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96.56%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96.61%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50 o 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92.31%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96.83%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96.89%</w:t>
            </w:r>
          </w:p>
        </w:tc>
      </w:tr>
    </w:tbl>
    <w:bookmarkEnd w:id="33"/>
    <w:bookmarkStart w:id="36" w:name="Xac8f4035cfb7c048f39543449b5d796392bca5f"/>
    <w:p>
      <w:pPr>
        <w:pStyle w:val="Heading3"/>
      </w:pPr>
      <w:r>
        <w:t xml:space="preserve">1.7 Número y % de personas que tuvieron alteración de alguno de sus exámenes de control durante la primera cita de control del primer mes. (creatinina y prueba de VIH)</w:t>
      </w:r>
    </w:p>
    <w:bookmarkStart w:id="34" w:name="reactividad-a-vih-primer-mes"/>
    <w:p>
      <w:pPr>
        <w:pStyle w:val="Heading4"/>
      </w:pPr>
      <w:r>
        <w:t xml:space="preserve">1.7.2 Reactividad a VIH primer mes</w:t>
      </w:r>
    </w:p>
    <w:p>
      <w:pPr>
        <w:pStyle w:val="FirstParagraph"/>
      </w:pPr>
      <w:r>
        <w:t xml:space="preserve">No se muestra una tabla de desagregación ya que solo fueron 3 casos reactivos para VIH</w:t>
      </w:r>
    </w:p>
    <w:bookmarkEnd w:id="34"/>
    <w:bookmarkStart w:id="35" w:name="alteración-de-creatinina-primer-mes"/>
    <w:p>
      <w:pPr>
        <w:pStyle w:val="Heading4"/>
      </w:pPr>
      <w:r>
        <w:t xml:space="preserve">1.7.3 alteración de Creatinina primer mes</w:t>
      </w:r>
    </w:p>
    <w:p>
      <w:pPr>
        <w:pStyle w:val="FirstParagraph"/>
      </w:pPr>
      <w:r>
        <w:t xml:space="preserve">No se muestra una tabla de desagregación ya que no se presentaron 0 casos de alteración de Creatinina en el control de los 30 dias</w:t>
      </w:r>
    </w:p>
    <w:bookmarkEnd w:id="35"/>
    <w:bookmarkEnd w:id="36"/>
    <w:bookmarkEnd w:id="37"/>
    <w:bookmarkStart w:id="55" w:name="early-continuation-on-prep"/>
    <w:p>
      <w:pPr>
        <w:pStyle w:val="Heading2"/>
      </w:pPr>
      <w:r>
        <w:t xml:space="preserve">2. early continuation on PrEP</w:t>
      </w:r>
    </w:p>
    <w:bookmarkStart w:id="38" w:name="early-continuation-on-prep-1"/>
    <w:p>
      <w:pPr>
        <w:pStyle w:val="Heading3"/>
      </w:pPr>
      <w:r>
        <w:t xml:space="preserve">2.1 early continuation on PrEP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personas que continuaron PrEP en por 3 meses consecutivos después de haber inicidado PrEP en los últimos 12 meses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Número de personas que iniciaron PrEP oral en los últimos 12 meses</w:t>
      </w:r>
    </w:p>
    <w:p>
      <w:pPr>
        <w:pStyle w:val="TableCaption"/>
      </w:pPr>
      <w:r>
        <w:t xml:space="preserve">Early continuation on PrEP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87.77%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87.77%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91.27%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83.33%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91.15%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50 o 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92.31%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90.50%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88.89%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90.48%</w:t>
            </w:r>
          </w:p>
        </w:tc>
      </w:tr>
    </w:tbl>
    <w:bookmarkEnd w:id="38"/>
    <w:bookmarkStart w:id="39" w:name="Xcdd86532d521f7126d9e4889f9c21903c6f6f93"/>
    <w:p>
      <w:pPr>
        <w:pStyle w:val="Heading3"/>
      </w:pPr>
      <w:r>
        <w:t xml:space="preserve">2.2 Numero y % de personas que asistieron a su segunda consulta de control a los 2 meses siguientes</w:t>
      </w:r>
    </w:p>
    <w:p>
      <w:pPr>
        <w:pStyle w:val="FirstParagraph"/>
      </w:pPr>
      <w:r>
        <w:t xml:space="preserve">es el mismo 2.1</w:t>
      </w:r>
    </w:p>
    <w:bookmarkEnd w:id="39"/>
    <w:bookmarkStart w:id="46" w:name="Xd2989566afc635f71057fbd95d82f6a8bc34df1"/>
    <w:p>
      <w:pPr>
        <w:pStyle w:val="Heading3"/>
      </w:pPr>
      <w:r>
        <w:t xml:space="preserve">2.3 Número y % de personas que tuvieron alteración de alguno de sus exámenes de control durante la segunda cita de control a los 2 meses, desagregado por creatinina, prueba de VIH, prueba de sífilis y reporte de sintomatología de ITS sindrómica.</w:t>
      </w:r>
    </w:p>
    <w:bookmarkStart w:id="40" w:name="reactividad-a-vih-tercer-mes"/>
    <w:p>
      <w:pPr>
        <w:pStyle w:val="Heading4"/>
      </w:pPr>
      <w:r>
        <w:t xml:space="preserve">2.3.1 Reactividad a VIH tercer mes</w:t>
      </w:r>
    </w:p>
    <w:p>
      <w:pPr>
        <w:pStyle w:val="FirstParagraph"/>
      </w:pPr>
      <w:r>
        <w:t xml:space="preserve">No se detalla tabla de desagregacion ya que de las</w:t>
      </w:r>
      <w:r>
        <w:t xml:space="preserve"> </w:t>
      </w:r>
      <w:r>
        <w:rPr>
          <w:bCs/>
          <w:b/>
        </w:rPr>
        <w:t xml:space="preserve">468</w:t>
      </w:r>
      <w:r>
        <w:t xml:space="preserve"> </w:t>
      </w:r>
      <w:r>
        <w:t xml:space="preserve">pruebas realizadas solo hubo</w:t>
      </w:r>
      <w:r>
        <w:t xml:space="preserve"> </w:t>
      </w:r>
      <w:r>
        <w:rPr>
          <w:bCs/>
          <w:b/>
        </w:rPr>
        <w:t xml:space="preserve">1</w:t>
      </w:r>
      <w:r>
        <w:t xml:space="preserve"> </w:t>
      </w:r>
      <w:r>
        <w:t xml:space="preserve">reactiva.</w:t>
      </w:r>
    </w:p>
    <w:bookmarkEnd w:id="40"/>
    <w:bookmarkStart w:id="41" w:name="alteración-de-creatinina-tercer-mes"/>
    <w:p>
      <w:pPr>
        <w:pStyle w:val="Heading4"/>
      </w:pPr>
      <w:r>
        <w:t xml:space="preserve">2.3.2 alteración de Creatinina tercer mes</w:t>
      </w:r>
    </w:p>
    <w:p>
      <w:pPr>
        <w:pStyle w:val="FirstParagraph"/>
      </w:pPr>
      <w:r>
        <w:t xml:space="preserve">No se muestra una tabla de desagregación ya que no se presentaron</w:t>
      </w:r>
      <w:r>
        <w:t xml:space="preserve"> </w:t>
      </w:r>
      <w:r>
        <w:rPr>
          <w:bCs/>
          <w:b/>
        </w:rPr>
        <w:t xml:space="preserve">0</w:t>
      </w:r>
      <w:r>
        <w:t xml:space="preserve"> </w:t>
      </w:r>
      <w:r>
        <w:t xml:space="preserve">casos de alteración de Creatinina en el control de tercer mes</w:t>
      </w:r>
    </w:p>
    <w:bookmarkEnd w:id="41"/>
    <w:bookmarkStart w:id="43" w:name="sífilis-1"/>
    <w:p>
      <w:pPr>
        <w:pStyle w:val="Heading4"/>
      </w:pPr>
      <w:r>
        <w:t xml:space="preserve">2.3.3 Sífilis</w:t>
      </w:r>
    </w:p>
    <w:p>
      <w:pPr>
        <w:pStyle w:val="TableCaption"/>
      </w:pPr>
      <w:r>
        <w:t xml:space="preserve">Número y % de personas que en consulta del tercer mes tuvieron resultado reactivo en la Prueba de Sífilis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4.60%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4.60%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7.59%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7.47%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50 o 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14.29%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22.22%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6.76%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16.67%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6.94%</w:t>
            </w:r>
          </w:p>
        </w:tc>
      </w:tr>
    </w:tbl>
    <w:bookmarkStart w:id="42" w:name="clasificación-de-sifilis-1"/>
    <w:p>
      <w:pPr>
        <w:pStyle w:val="Heading5"/>
      </w:pPr>
      <w:r>
        <w:t xml:space="preserve">Clasificación de sifilis</w:t>
      </w:r>
    </w:p>
    <w:p>
      <w:pPr>
        <w:pStyle w:val="TableCaption"/>
      </w:pPr>
      <w:r>
        <w:t xml:space="preserve">Número y % de pruebas de Sífilis reactivas del tercer mes, por estadio y población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Estadios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18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Número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Número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Número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temprana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65.22%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62.50%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latente tardia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8.70%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12.50%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latente temprana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17.39%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16.67%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tardia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8.70%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8.33%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</w:tbl>
    <w:bookmarkEnd w:id="42"/>
    <w:bookmarkEnd w:id="43"/>
    <w:bookmarkStart w:id="44" w:name="sintomas-de-clamidia"/>
    <w:p>
      <w:pPr>
        <w:pStyle w:val="Heading4"/>
      </w:pPr>
      <w:r>
        <w:t xml:space="preserve">2.3.4 Sintomas de Clamidia</w:t>
      </w:r>
    </w:p>
    <w:p>
      <w:pPr>
        <w:pStyle w:val="TableCaption"/>
      </w:pPr>
      <w:r>
        <w:t xml:space="preserve">Número y % de personas que en consulta del tercer mes reportaron síntomas de Clamidia,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1.64%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1.64%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1.74%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1.72%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50 o 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1.65%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1.62%</w:t>
            </w:r>
          </w:p>
        </w:tc>
      </w:tr>
    </w:tbl>
    <w:bookmarkEnd w:id="44"/>
    <w:bookmarkStart w:id="45" w:name="sintomas-de-gonorrea"/>
    <w:p>
      <w:pPr>
        <w:pStyle w:val="Heading4"/>
      </w:pPr>
      <w:r>
        <w:t xml:space="preserve">2.3.5 Sintomas de Gonorrea</w:t>
      </w:r>
    </w:p>
    <w:p>
      <w:pPr>
        <w:pStyle w:val="TableCaption"/>
      </w:pPr>
      <w:r>
        <w:t xml:space="preserve">Número y % de personas que en consulta del tercer mes reportaron síntomas de Gonorrea,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0.82%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0.82%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0.58%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50 o 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0.62%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0.61%</w:t>
            </w:r>
          </w:p>
        </w:tc>
      </w:tr>
    </w:tbl>
    <w:bookmarkEnd w:id="45"/>
    <w:bookmarkEnd w:id="46"/>
    <w:bookmarkStart w:id="47" w:name="Xfa50392db1dcf03e1cd98dd351aa62fbca0048d"/>
    <w:p>
      <w:pPr>
        <w:pStyle w:val="Heading3"/>
      </w:pPr>
      <w:r>
        <w:t xml:space="preserve">2.4 Número y % de personas que asistieron a su tercer consulta de control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personas que asistieron al tercer control a los 6 meses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Número de personas que iniciaron PrEP oral en los últimos 12 meses</w:t>
      </w:r>
    </w:p>
    <w:p>
      <w:pPr>
        <w:pStyle w:val="TableCaption"/>
      </w:pPr>
      <w:r>
        <w:t xml:space="preserve">Número y % de personas que asistieron a su tercer consulta de control, por Rangod e edad y población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80.00%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80.00%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78.42%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78.42%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86.51%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66.67%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86.20%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50 o 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84.62%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84.17%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77.78%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84.07%</w:t>
            </w:r>
          </w:p>
        </w:tc>
      </w:tr>
    </w:tbl>
    <w:bookmarkEnd w:id="47"/>
    <w:bookmarkStart w:id="54" w:name="Xed3a7207634ba4a70e26ad3de7a343dbe5dbe78"/>
    <w:p>
      <w:pPr>
        <w:pStyle w:val="Heading3"/>
      </w:pPr>
      <w:r>
        <w:t xml:space="preserve">2.5 Número y % de personas que tuvieron alteración de alguno de sus exámenes de control durante la tercer cita de control a los 6 meses, desagregado por creatinina, prueba de VIH, prueba de sífilis y reporte de sintomatología de ITS sindrómica.</w:t>
      </w:r>
    </w:p>
    <w:bookmarkStart w:id="48" w:name="reactividad-a-vih-tercer-mes-1"/>
    <w:p>
      <w:pPr>
        <w:pStyle w:val="Heading4"/>
      </w:pPr>
      <w:r>
        <w:t xml:space="preserve">2.5.1 Reactividad a VIH tercer mes</w:t>
      </w:r>
    </w:p>
    <w:p>
      <w:pPr>
        <w:pStyle w:val="FirstParagraph"/>
      </w:pPr>
      <w:r>
        <w:t xml:space="preserve">No se detalla tabla de desagregacion ya que de las</w:t>
      </w:r>
      <w:r>
        <w:t xml:space="preserve"> </w:t>
      </w:r>
      <w:r>
        <w:rPr>
          <w:bCs/>
          <w:b/>
        </w:rPr>
        <w:t xml:space="preserve">448</w:t>
      </w:r>
      <w:r>
        <w:t xml:space="preserve"> </w:t>
      </w:r>
      <w:r>
        <w:t xml:space="preserve">pruebas realizadas solo hubo</w:t>
      </w:r>
      <w:r>
        <w:t xml:space="preserve"> </w:t>
      </w:r>
      <w:r>
        <w:rPr>
          <w:bCs/>
          <w:b/>
        </w:rPr>
        <w:t xml:space="preserve">1</w:t>
      </w:r>
      <w:r>
        <w:t xml:space="preserve"> </w:t>
      </w:r>
      <w:r>
        <w:t xml:space="preserve">reactiva.</w:t>
      </w:r>
    </w:p>
    <w:bookmarkEnd w:id="48"/>
    <w:bookmarkStart w:id="49" w:name="alteración-de-creatinina-tercer-mes-1"/>
    <w:p>
      <w:pPr>
        <w:pStyle w:val="Heading4"/>
      </w:pPr>
      <w:r>
        <w:t xml:space="preserve">2.5.2 alteración de Creatinina tercer mes</w:t>
      </w:r>
    </w:p>
    <w:p>
      <w:pPr>
        <w:pStyle w:val="FirstParagraph"/>
      </w:pPr>
      <w:r>
        <w:t xml:space="preserve">No se muestra una tabla de desagregación ya que no se presentaron</w:t>
      </w:r>
      <w:r>
        <w:t xml:space="preserve"> </w:t>
      </w:r>
      <w:r>
        <w:rPr>
          <w:bCs/>
          <w:b/>
        </w:rPr>
        <w:t xml:space="preserve">0</w:t>
      </w:r>
      <w:r>
        <w:t xml:space="preserve"> </w:t>
      </w:r>
      <w:r>
        <w:t xml:space="preserve">casos de alteración de Creatinina en el tercer control a los 6 meses</w:t>
      </w:r>
    </w:p>
    <w:bookmarkEnd w:id="49"/>
    <w:bookmarkStart w:id="51" w:name="sífilis-2"/>
    <w:p>
      <w:pPr>
        <w:pStyle w:val="Heading4"/>
      </w:pPr>
      <w:r>
        <w:t xml:space="preserve">2.5.3 Sífilis</w:t>
      </w:r>
    </w:p>
    <w:p>
      <w:pPr>
        <w:pStyle w:val="TableCaption"/>
      </w:pPr>
      <w:r>
        <w:t xml:space="preserve">Número y % de personas que en consulta del sexto mes que tuvieron resultado reactivo en la Prueba de Sífilis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5.19%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5.19%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9.25%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9.13%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50 o 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16.67%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25.00%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8.20%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8.39%</w:t>
            </w:r>
          </w:p>
        </w:tc>
      </w:tr>
    </w:tbl>
    <w:bookmarkStart w:id="50" w:name="clasificación-de-sifilis-2"/>
    <w:p>
      <w:pPr>
        <w:pStyle w:val="Heading5"/>
      </w:pPr>
      <w:r>
        <w:t xml:space="preserve">Clasificación de sifilis</w:t>
      </w:r>
    </w:p>
    <w:p>
      <w:pPr>
        <w:pStyle w:val="TableCaption"/>
      </w:pPr>
      <w:r>
        <w:t xml:space="preserve">Número y % de pruebas de Sífilis reactivas del sexto mes, por estadio y población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Estadios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18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Número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Número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Número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temprana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69.23%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66.67%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latente tardia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7.69%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11.11%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latente temprana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15.38%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14.81%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tardia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7.69%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7.41%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</w:tbl>
    <w:bookmarkEnd w:id="50"/>
    <w:bookmarkEnd w:id="51"/>
    <w:bookmarkStart w:id="52" w:name="sintomas-de-clamidia-1"/>
    <w:p>
      <w:pPr>
        <w:pStyle w:val="Heading4"/>
      </w:pPr>
      <w:r>
        <w:t xml:space="preserve">2.5.4 Sintomas de Clamidia</w:t>
      </w:r>
    </w:p>
    <w:p>
      <w:pPr>
        <w:pStyle w:val="TableCaption"/>
      </w:pPr>
      <w:r>
        <w:t xml:space="preserve">Número y % de personas que en consulta del sexto mes reportaron síntomas de Clamidia,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1.83%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1.83%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1.53%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1.51%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50 o 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1.55%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1.53%</w:t>
            </w:r>
          </w:p>
        </w:tc>
      </w:tr>
    </w:tbl>
    <w:bookmarkEnd w:id="52"/>
    <w:bookmarkStart w:id="53" w:name="sintomas-de-gonorrea-1"/>
    <w:p>
      <w:pPr>
        <w:pStyle w:val="Heading4"/>
      </w:pPr>
      <w:r>
        <w:t xml:space="preserve">2.5.5 Sintomas de Gonorrea</w:t>
      </w:r>
    </w:p>
    <w:p>
      <w:pPr>
        <w:pStyle w:val="TableCaption"/>
      </w:pPr>
      <w:r>
        <w:t xml:space="preserve">Número y % de personas que en consulta del sexto mes reportaron síntomas de Gonorrea,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0.92%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0.92%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1.22%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1.21%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50 o 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1.09%</w:t>
            </w:r>
          </w:p>
        </w:tc>
      </w:tr>
    </w:tbl>
    <w:bookmarkEnd w:id="53"/>
    <w:bookmarkEnd w:id="54"/>
    <w:bookmarkEnd w:id="55"/>
    <w:bookmarkStart w:id="60" w:name="X3620dbb5a1cdaf14458bd4cd7572683f180452c"/>
    <w:p>
      <w:pPr>
        <w:pStyle w:val="Heading2"/>
      </w:pPr>
      <w:r>
        <w:t xml:space="preserve">3 toxicity prevalence among people who have been prescribed PrEP</w:t>
      </w:r>
    </w:p>
    <w:bookmarkStart w:id="56" w:name="X2d78e2a8e6f8983b34ba8e4ffb363a642202fa0"/>
    <w:p>
      <w:pPr>
        <w:pStyle w:val="Heading3"/>
      </w:pPr>
      <w:r>
        <w:t xml:space="preserve">3.1 toxicity prevalence among people who have been prescribed PrEP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personas que recibieron PrEP y descontinuaron o interrumpieron PrEP debido a toxicidad grave realcionada a la TAR en los últimos 12 mese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Número de personas que recibieron PrEP oral al menos una vez en los últimos 12 meses</w:t>
      </w:r>
    </w:p>
    <w:bookmarkEnd w:id="56"/>
    <w:bookmarkStart w:id="57" w:name="X3805de5127d4fc31a0c5a871e7302dd782f97a0"/>
    <w:p>
      <w:pPr>
        <w:pStyle w:val="Heading3"/>
      </w:pPr>
      <w:r>
        <w:t xml:space="preserve">3.1 Toxicity prevalence among people who have been prescribed PrEP</w:t>
      </w:r>
    </w:p>
    <w:p>
      <w:pPr>
        <w:pStyle w:val="FirstParagraph"/>
      </w:pPr>
      <w:r>
        <w:t xml:space="preserve">No se detalla tabla de desagregacion ya que</w:t>
      </w:r>
      <w:r>
        <w:t xml:space="preserve"> </w:t>
      </w:r>
      <w:r>
        <w:rPr>
          <w:bCs/>
          <w:b/>
        </w:rPr>
        <w:t xml:space="preserve">0</w:t>
      </w:r>
      <w:r>
        <w:t xml:space="preserve"> </w:t>
      </w:r>
      <w:r>
        <w:t xml:space="preserve">personas se retirarnon del piloto por Efectos adversos con criterio clínico</w:t>
      </w:r>
    </w:p>
    <w:bookmarkEnd w:id="57"/>
    <w:bookmarkStart w:id="58" w:name="X667f3c3ce9c334c2ec8160abf65ec674da911b1"/>
    <w:p>
      <w:pPr>
        <w:pStyle w:val="Heading3"/>
      </w:pPr>
      <w:r>
        <w:t xml:space="preserve">3.2 Numero y % de personas que refieren efectos adversos al medicamento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personas que refirieron el efecto adverso</w:t>
      </w:r>
      <w:r>
        <w:t xml:space="preserve"> </w:t>
      </w:r>
      <w:r>
        <w:rPr>
          <w:bCs/>
          <w:b/>
        </w:rPr>
        <w:t xml:space="preserve">Denominador:</w:t>
      </w:r>
      <w:r>
        <w:t xml:space="preserve"> </w:t>
      </w:r>
      <w:r>
        <w:t xml:space="preserve">Número de personas que recibieron PrEP oral al menos una vez en los últimos 12 meses</w:t>
      </w:r>
    </w:p>
    <w:p>
      <w:pPr>
        <w:pStyle w:val="TableCaption"/>
      </w:pPr>
      <w:r>
        <w:t xml:space="preserve">Número y % de personas que refirieron efectos adversos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18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Efecto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Número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síntomas urinarios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0.18%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Molestias en la piel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0.55%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Vómitos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0.92%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Dolor abdominal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2.38%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Flatulencias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5.31%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Diarrea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6.78%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Nauseas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9.34%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Otro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26.92%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Algún efecto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39.38%</w:t>
            </w:r>
          </w:p>
        </w:tc>
      </w:tr>
    </w:tbl>
    <w:p>
      <w:pPr>
        <w:pStyle w:val="BodyText"/>
      </w:pPr>
      <w:r>
        <w:rPr>
          <w:iCs/>
          <w:i/>
        </w:rPr>
        <w:t xml:space="preserve">Solo se reporta una vez cada Efecto adverso por persona, así lo haya reportado en varias ocasiones</w:t>
      </w:r>
    </w:p>
    <w:bookmarkEnd w:id="58"/>
    <w:bookmarkStart w:id="59" w:name="X5d596b3d498029f045bd7b210f5eede92cdbf4a"/>
    <w:p>
      <w:pPr>
        <w:pStyle w:val="Heading3"/>
      </w:pPr>
      <w:r>
        <w:t xml:space="preserve">3.3 Número y % de personas que decidieron suspender la PrEP por no tolerabilidad a efectos adversos leves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personas que decidieron suspender la PrEP por no tolerabilidad a efectos adversos leves</w:t>
      </w:r>
      <w:r>
        <w:t xml:space="preserve"> </w:t>
      </w:r>
      <w:r>
        <w:rPr>
          <w:bCs/>
          <w:b/>
        </w:rPr>
        <w:t xml:space="preserve">Denominador:</w:t>
      </w:r>
      <w:r>
        <w:t xml:space="preserve"> </w:t>
      </w:r>
      <w:r>
        <w:t xml:space="preserve">Número de personas que recibieron PrEP oral al menos una vez en los últimos 12 meses</w:t>
      </w:r>
    </w:p>
    <w:p>
      <w:pPr>
        <w:pStyle w:val="TableCaption"/>
      </w:pPr>
      <w:r>
        <w:t xml:space="preserve">Número y % de personas que decidieron suspender la PrEP por no tolerabilidad a efectos adversos leves,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2.88%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2.88%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1.06%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16.67%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1.04%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50 o 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1.49%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11.11%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1.47%</w:t>
            </w:r>
          </w:p>
        </w:tc>
      </w:tr>
    </w:tbl>
    <w:bookmarkEnd w:id="59"/>
    <w:bookmarkEnd w:id="60"/>
    <w:bookmarkStart w:id="62" w:name="Xf111f0cb0cf23c51ca910d70164734a5d6c09cc"/>
    <w:p>
      <w:pPr>
        <w:pStyle w:val="Heading2"/>
      </w:pPr>
      <w:r>
        <w:t xml:space="preserve">4. HIV positivity among people who have been prescribed PrEP.</w:t>
      </w:r>
    </w:p>
    <w:bookmarkStart w:id="61" w:name="Xf00e0ee3dd2b92470dd54dc6deb4f10ce765114"/>
    <w:p>
      <w:pPr>
        <w:pStyle w:val="Heading3"/>
      </w:pPr>
      <w:r>
        <w:t xml:space="preserve">4.1. Número y % de personas que han tenido una seroconversión para VIH y en que control lo presento.</w:t>
      </w:r>
    </w:p>
    <w:p>
      <w:pPr>
        <w:pStyle w:val="TableCaption"/>
      </w:pPr>
      <w:r>
        <w:t xml:space="preserve">Número y % de personas que han tenido una seroconversión para VIH y en que control lo presento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18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Formulario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Número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Control 30 dias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0.55%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Trimestral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0.18%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0.73%</w:t>
            </w:r>
          </w:p>
        </w:tc>
      </w:tr>
    </w:tbl>
    <w:bookmarkEnd w:id="61"/>
    <w:bookmarkEnd w:id="62"/>
    <w:bookmarkStart w:id="66" w:name="anális-de-adherencia-general"/>
    <w:p>
      <w:pPr>
        <w:pStyle w:val="Heading2"/>
      </w:pPr>
      <w:r>
        <w:t xml:space="preserve">5. Anális de adherencia general</w:t>
      </w:r>
    </w:p>
    <w:bookmarkStart w:id="63" w:name="adherencia-al-medicamento"/>
    <w:p>
      <w:pPr>
        <w:pStyle w:val="Heading3"/>
      </w:pPr>
      <w:r>
        <w:t xml:space="preserve">5.1 Adherencia al medicamento</w:t>
      </w:r>
    </w:p>
    <w:bookmarkEnd w:id="63"/>
    <w:bookmarkStart w:id="64" w:name="X4163b8bafe5ce79142dcef35653fa759ba4aac6"/>
    <w:p>
      <w:pPr>
        <w:pStyle w:val="Heading3"/>
      </w:pPr>
      <w:r>
        <w:t xml:space="preserve">5.1.1 Número y % de personas que reportaron adherencia 100% (de acuerdo a definición del protocolo)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Numero y % de personas que reportaron adherencia 100% (de acuerdo a definición del protocolo)</w:t>
      </w:r>
      <w:r>
        <w:t xml:space="preserve"> </w:t>
      </w:r>
      <w:r>
        <w:rPr>
          <w:bCs/>
          <w:b/>
        </w:rPr>
        <w:t xml:space="preserve">Denominador:</w:t>
      </w:r>
      <w:r>
        <w:t xml:space="preserve"> </w:t>
      </w:r>
      <w:r>
        <w:t xml:space="preserve">Número de personas que Asiteron a la cita de control</w:t>
      </w:r>
    </w:p>
    <w:p>
      <w:pPr>
        <w:pStyle w:val="TableCaption"/>
      </w:pPr>
      <w:r>
        <w:t xml:space="preserve">Numero y % de personas que reportaron adherencia 100% (de acuerdo a definición del protocolo)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15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Formulario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Adherencia Semanal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Adherencia Mensual</w:t>
            </w:r>
          </w:p>
        </w:tc>
      </w:tr>
      <w:tr>
        <w:trPr>
          <w:cantSplit/>
          <w:trHeight w:val="418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Control 30 dias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504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529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95.27%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505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529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95.27%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Trimestral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95.14%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95.14%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Trimestral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92.59%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92.59%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Trimestral 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97.83%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97.83%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Trimestral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99.13%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99.13%</w:t>
            </w:r>
          </w:p>
        </w:tc>
      </w:tr>
    </w:tbl>
    <w:bookmarkEnd w:id="64"/>
    <w:bookmarkStart w:id="65" w:name="X546f1965a170342592216a19ca28975f3bc8761"/>
    <w:p>
      <w:pPr>
        <w:pStyle w:val="Heading3"/>
      </w:pPr>
      <w:r>
        <w:t xml:space="preserve">5.1.1 Número y % de personas que reportaron adherencia 100% (de acuerdo a definición del protocolo)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y % de personas que fueron clasificadas como no adherentes agrupadas por causas de perdida de adherencial y Atención</w:t>
      </w:r>
    </w:p>
    <w:p>
      <w:pPr>
        <w:pStyle w:val="TableCaption"/>
      </w:pPr>
      <w:r>
        <w:t xml:space="preserve">Número y % de personas que fueron clasificadas como no adherentes agrupadas por causas de perdida de adherencial y Atención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15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Motivo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Control 30 dias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Trimestral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Trimestral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Trimestral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Trimestral 4</w:t>
            </w:r>
          </w:p>
        </w:tc>
      </w:tr>
      <w:tr>
        <w:trPr>
          <w:cantSplit/>
          <w:trHeight w:val="418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Efectos adversos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8.33%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8.70%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2.44%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15.38%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Estar de viaje o fuera de casa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16.67%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30.43%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14.63%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7.69%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33.33%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Finalizo el medicamento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33.33%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21.74%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63.41%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30.77%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66.67%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Olvido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12.50%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13.04%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4.88%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15.38%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Otro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29.17%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26.09%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14.63%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30.77%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</w:tbl>
    <w:bookmarkEnd w:id="65"/>
    <w:bookmarkEnd w:id="66"/>
    <w:bookmarkStart w:id="67" w:name="adherencia-al-programa"/>
    <w:p>
      <w:pPr>
        <w:pStyle w:val="Heading2"/>
      </w:pPr>
      <w:r>
        <w:t xml:space="preserve">5.2. Adherencia al programa</w:t>
      </w:r>
    </w:p>
    <w:bookmarkEnd w:id="67"/>
    <w:bookmarkStart w:id="68" w:name="adherencia-al-programa-1"/>
    <w:p>
      <w:pPr>
        <w:pStyle w:val="Heading2"/>
      </w:pPr>
      <w:r>
        <w:t xml:space="preserve">5.2. Adherencia al programa</w:t>
      </w:r>
    </w:p>
    <w:p>
      <w:pPr>
        <w:pStyle w:val="TableCaption"/>
      </w:pPr>
      <w:r>
        <w:t xml:space="preserve">Adherencia al programa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15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Formulario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Particular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Subsidiado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Total</w:t>
            </w:r>
          </w:p>
        </w:tc>
      </w:tr>
      <w:tr>
        <w:trPr>
          <w:cantSplit/>
          <w:trHeight w:val="418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 Formulario inicial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 Control 30 dias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98.85%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96.51%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96.89%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 Trimestral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81.61%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92.16%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90.48%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 Trimestral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70.11%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86.71%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84.07%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 Trimestral 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63.22%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78.43%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76.01%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 Trimestral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37.93%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42.92%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42.12%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 Cierre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101.15%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99.78%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</w:tbl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Final Piloto PrEP Colombia</dc:title>
  <dc:creator>OPS, PNUD</dc:creator>
  <cp:keywords/>
  <dcterms:created xsi:type="dcterms:W3CDTF">2021-07-02T05:35:02Z</dcterms:created>
  <dcterms:modified xsi:type="dcterms:W3CDTF">2021-07-02T05:35:02Z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24/6/2021</vt:lpwstr>
  </property>
  <property fmtid="{D5CDD505-2E9C-101B-9397-08002B2CF9AE}" pid="3" name="output">
    <vt:lpwstr>word_document</vt:lpwstr>
  </property>
</Properties>
</file>