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OpenBrain Operations Runbook</w:t>
      </w:r>
    </w:p>
    <w:p/>
    <w:p>
      <w:r>
        <w:t>Status: FINAL</w:t>
      </w:r>
    </w:p>
    <w:p/>
    <w:p>
      <w:pPr>
        <w:pStyle w:val="Heading2"/>
      </w:pPr>
      <w:r>
        <w:t>Purpose and audience</w:t>
      </w:r>
    </w:p>
    <w:p>
      <w:r>
        <w:t>This runbook is for partner evaluators and enterprise operations teams. OpenBrain is the durable state plane for governed memory, while model providers remain stateless compute adapters.</w:t>
      </w:r>
    </w:p>
    <w:p/>
    <w:p>
      <w:pPr>
        <w:pStyle w:val="Heading2"/>
      </w:pPr>
      <w:r>
        <w:t>Installation paths</w:t>
      </w:r>
    </w:p>
    <w:p>
      <w:pPr>
        <w:pStyle w:val="Heading3"/>
      </w:pPr>
      <w:r>
        <w:t>Primary: local onboarding with Docker Compose</w:t>
      </w:r>
    </w:p>
    <w:p/>
    <w:p>
      <w:r>
        <w:rPr>
          <w:rFonts w:ascii="Consolas" w:hAnsi="Consolas"/>
        </w:rPr>
        <w:t>docker compose up -d</w:t>
      </w:r>
    </w:p>
    <w:p/>
    <w:p>
      <w:r>
        <w:t>This starts Postgres with pgvector and OpenBrain server on localhost.</w:t>
      </w:r>
    </w:p>
    <w:p/>
    <w:p>
      <w:pPr>
        <w:pStyle w:val="Heading3"/>
      </w:pPr>
      <w:r>
        <w:t>Secondary: enterprise "bring your Postgres"</w:t>
      </w:r>
    </w:p>
    <w:p>
      <w:r>
        <w:t>Run OpenBrain against managed Postgres with pgvector enabled. Keep workspace boundaries, policy controls, and audit flows identical across environments.</w:t>
      </w:r>
    </w:p>
    <w:p/>
    <w:p>
      <w:pPr>
        <w:pStyle w:val="Heading2"/>
      </w:pPr>
      <w:r>
        <w:t>Bootstrap and auth</w:t>
      </w:r>
    </w:p>
    <w:p>
      <w:r>
        <w:t>OpenBrain uses workspace-scoped roles (`owner`, `writer`, `reader`).</w:t>
      </w:r>
    </w:p>
    <w:p/>
    <w:p>
      <w:pPr>
        <w:pStyle w:val="ListBullet"/>
      </w:pPr>
      <w:r>
        <w:t>HTTP auth: `Authorization: Bearer &lt;token&gt;`</w:t>
      </w:r>
    </w:p>
    <w:p>
      <w:pPr>
        <w:pStyle w:val="ListBullet"/>
      </w:pPr>
      <w:r>
        <w:t>MCP auth: `auth_token` on initialize</w:t>
      </w:r>
    </w:p>
    <w:p/>
    <w:p>
      <w:r>
        <w:t>Token hygiene:</w:t>
      </w:r>
    </w:p>
    <w:p/>
    <w:p>
      <w:pPr>
        <w:pStyle w:val="ListBullet"/>
      </w:pPr>
      <w:r>
        <w:t>Server stores token hashes only.</w:t>
      </w:r>
    </w:p>
    <w:p>
      <w:pPr>
        <w:pStyle w:val="ListBullet"/>
      </w:pPr>
      <w:r>
        <w:t>Demo/bootstrap token artifacts are written to `.openbrain/` and are gitignored.</w:t>
      </w:r>
    </w:p>
    <w:p>
      <w:pPr>
        <w:pStyle w:val="ListBullet"/>
      </w:pPr>
      <w:r>
        <w:t>Rotate writer/reader tokens periodically and revoke compromised tokens.</w:t>
      </w:r>
    </w:p>
    <w:p/>
    <w:p>
      <w:pPr>
        <w:pStyle w:val="Heading2"/>
      </w:pPr>
      <w:r>
        <w:t>Running the system</w:t>
      </w:r>
    </w:p>
    <w:p/>
    <w:p>
      <w:r>
        <w:rPr>
          <w:rFonts w:ascii="Consolas" w:hAnsi="Consolas"/>
        </w:rPr>
        <w:t>docker compose up -d</w:t>
      </w:r>
    </w:p>
    <w:p>
      <w:r>
        <w:rPr>
          <w:rFonts w:ascii="Consolas" w:hAnsi="Consolas"/>
        </w:rPr>
        <w:t>pwsh scripts/demo.ps1</w:t>
      </w:r>
    </w:p>
    <w:p>
      <w:r>
        <w:rPr>
          <w:rFonts w:ascii="Consolas" w:hAnsi="Consolas"/>
        </w:rPr>
        <w:t># or</w:t>
      </w:r>
    </w:p>
    <w:p>
      <w:r>
        <w:rPr>
          <w:rFonts w:ascii="Consolas" w:hAnsi="Consolas"/>
        </w:rPr>
        <w:t>bash scripts/demo.sh</w:t>
      </w:r>
    </w:p>
    <w:p/>
    <w:p>
      <w:r>
        <w:t>`openbrain serve` remains available for non-compose local runs.</w:t>
      </w:r>
    </w:p>
    <w:p/>
    <w:p>
      <w:pPr>
        <w:pStyle w:val="Heading2"/>
      </w:pPr>
      <w:r>
        <w:t>Validate via Web Viewer</w:t>
      </w:r>
    </w:p>
    <w:p>
      <w:r>
        <w:t>After startup, validate the environment visually using the read-only viewer.</w:t>
      </w:r>
    </w:p>
    <w:p/>
    <w:p>
      <w:pPr>
        <w:pStyle w:val="ListNumber"/>
      </w:pPr>
      <w:r>
        <w:t>1. Open `http://127.0.0.1:8080/viewer`.</w:t>
      </w:r>
    </w:p>
    <w:p>
      <w:pPr>
        <w:pStyle w:val="ListNumber"/>
      </w:pPr>
      <w:r>
        <w:t>2. Paste a token from `.openbrain/demo_tokens.json`.</w:t>
      </w:r>
    </w:p>
    <w:p>
      <w:pPr>
        <w:pStyle w:val="ListNumber"/>
      </w:pPr>
      <w:r>
        <w:t>3. Confirm `workspace info` and one `audit` query return expected records.</w:t>
      </w:r>
    </w:p>
    <w:p/>
    <w:p>
      <w:r>
        <w:t>Viewer screenshots:</w:t>
      </w:r>
    </w:p>
    <w:p/>
    <w:p>
      <w:pPr>
        <w:pStyle w:val="ListBullet"/>
      </w:pPr>
      <w:r>
        <w:t>`docs/pack/assets/viewer/viewer-01-connection-token.png`</w:t>
      </w:r>
    </w:p>
    <w:p>
      <w:pPr>
        <w:pStyle w:val="ListBullet"/>
      </w:pPr>
      <w:r>
        <w:t>`docs/pack/assets/viewer/viewer-02-workspace-info.png`</w:t>
      </w:r>
    </w:p>
    <w:p>
      <w:pPr>
        <w:pStyle w:val="ListBullet"/>
      </w:pPr>
      <w:r>
        <w:t>`docs/pack/assets/viewer/viewer-03-audit-object-timeline.png`</w:t>
      </w:r>
    </w:p>
    <w:p>
      <w:pPr>
        <w:pStyle w:val="ListBullet"/>
      </w:pPr>
      <w:r>
        <w:t>`docs/pack/assets/viewer/viewer-08-deny-explainability.png`</w:t>
      </w:r>
    </w:p>
    <w:p/>
    <w:p>
      <w:pPr>
        <w:pStyle w:val="Heading2"/>
      </w:pPr>
      <w:r>
        <w:t>Operations procedures</w:t>
      </w:r>
    </w:p>
    <w:p>
      <w:pPr>
        <w:pStyle w:val="Heading3"/>
      </w:pPr>
      <w:r>
        <w:t>Migrations</w:t>
      </w:r>
    </w:p>
    <w:p>
      <w:r>
        <w:t>Migrations run during normal startup/demo flow. Manual SQL steps are not required for standard onboarding.</w:t>
      </w:r>
    </w:p>
    <w:p/>
    <w:p>
      <w:pPr>
        <w:pStyle w:val="Heading3"/>
      </w:pPr>
      <w:r>
        <w:t>Backup and restore</w:t>
      </w:r>
    </w:p>
    <w:p>
      <w:r>
        <w:t>Use normal Postgres backup strategy (`pg_dump` for logical backup, PITR/physical backup for production). After restore, verify `/v1/ping`, workspace info, and audit queries.</w:t>
      </w:r>
    </w:p>
    <w:p/>
    <w:p>
      <w:pPr>
        <w:pStyle w:val="Heading3"/>
      </w:pPr>
      <w:r>
        <w:t>Troubleshooting</w:t>
      </w:r>
    </w:p>
    <w:p>
      <w:pPr>
        <w:pStyle w:val="ListBullet"/>
      </w:pPr>
      <w:r>
        <w:t>Docker not running: start Docker Desktop and rerun `docker compose up -d`.</w:t>
      </w:r>
    </w:p>
    <w:p>
      <w:pPr>
        <w:pStyle w:val="ListBullet"/>
      </w:pPr>
      <w:r>
        <w:t>DB connection issues: verify `DATABASE_URL` and Postgres health.</w:t>
      </w:r>
    </w:p>
    <w:p>
      <w:pPr>
        <w:pStyle w:val="ListBullet"/>
      </w:pPr>
      <w:r>
        <w:t>Missing pgvector: verify extension init path in Compose.</w:t>
      </w:r>
    </w:p>
    <w:p>
      <w:pPr>
        <w:pStyle w:val="ListBullet"/>
      </w:pPr>
      <w:r>
        <w:t>Denied request:</w:t>
      </w:r>
    </w:p>
    <w:p>
      <w:r>
        <w:t xml:space="preserve">  - `OB_UNAUTHENTICATED` = missing/invalid token.</w:t>
      </w:r>
    </w:p>
    <w:p>
      <w:r>
        <w:t xml:space="preserve">  - `OB_FORBIDDEN` = policy denial with `reason_code` and `policy_rule_id`.</w:t>
      </w:r>
    </w:p>
    <w:p/>
    <w:p>
      <w:pPr>
        <w:pStyle w:val="Heading2"/>
      </w:pPr>
      <w:r>
        <w:t>Re-embed + coverage operations</w:t>
      </w:r>
    </w:p>
    <w:p>
      <w:r>
        <w:t>Use this when moving retrieval to a new embedding provider/model/kind.</w:t>
      </w:r>
    </w:p>
    <w:p/>
    <w:p>
      <w:pPr>
        <w:pStyle w:val="ListNumber"/>
      </w:pPr>
      <w:r>
        <w:t>1. Measure baseline coverage in target space.</w:t>
      </w:r>
    </w:p>
    <w:p>
      <w:pPr>
        <w:pStyle w:val="ListNumber"/>
      </w:pPr>
      <w:r>
        <w:t>2. Run re-embed in dry-run mode.</w:t>
      </w:r>
    </w:p>
    <w:p>
      <w:pPr>
        <w:pStyle w:val="ListNumber"/>
      </w:pPr>
      <w:r>
        <w:t>3. Execute bounded batches with `--limit` and optional resume cursor.</w:t>
      </w:r>
    </w:p>
    <w:p>
      <w:pPr>
        <w:pStyle w:val="ListNumber"/>
      </w:pPr>
      <w:r>
        <w:t>4. Re-run coverage and verify completion.</w:t>
      </w:r>
    </w:p>
    <w:p/>
    <w:p>
      <w:r>
        <w:t>Example:</w:t>
      </w:r>
    </w:p>
    <w:p/>
    <w:p>
      <w:r>
        <w:rPr>
          <w:rFonts w:ascii="Consolas" w:hAnsi="Consolas"/>
        </w:rPr>
        <w:t>openbrain embed coverage --workspace ws_demo --provider fake --model fake-v1 --kind semantic</w:t>
      </w:r>
    </w:p>
    <w:p>
      <w:r>
        <w:rPr>
          <w:rFonts w:ascii="Consolas" w:hAnsi="Consolas"/>
        </w:rPr>
        <w:t>openbrain embed reembed --workspace ws_demo --to-provider fake --to-model fake-v2 --to-kind semantic --dry-run --limit 100</w:t>
      </w:r>
    </w:p>
    <w:p>
      <w:r>
        <w:rPr>
          <w:rFonts w:ascii="Consolas" w:hAnsi="Consolas"/>
        </w:rPr>
        <w:t>openbrain embed reembed --workspace ws_demo --to-provider fake --to-model fake-v2 --to-kind semantic --limit 100</w:t>
      </w:r>
    </w:p>
    <w:p/>
    <w:p>
      <w:r>
        <w:t>Re-embed obeys lifecycle defaults (accepted + not expired) and policy constraints.</w:t>
      </w:r>
    </w:p>
    <w:p/>
    <w:p>
      <w:pPr>
        <w:pStyle w:val="Heading2"/>
      </w:pPr>
      <w:r>
        <w:t>Governance operations</w:t>
      </w:r>
    </w:p>
    <w:p>
      <w:pPr>
        <w:pStyle w:val="Heading3"/>
      </w:pPr>
      <w:r>
        <w:t>Retention policy</w:t>
      </w:r>
    </w:p>
    <w:p>
      <w:r>
        <w:t>Retention is workspace-owned policy-as-data via `kind="policy.retention"` with:</w:t>
      </w:r>
    </w:p>
    <w:p/>
    <w:p>
      <w:pPr>
        <w:pStyle w:val="ListBullet"/>
      </w:pPr>
      <w:r>
        <w:t>`default_ttl_by_kind`</w:t>
      </w:r>
    </w:p>
    <w:p>
      <w:pPr>
        <w:pStyle w:val="ListBullet"/>
      </w:pPr>
      <w:r>
        <w:t>`max_ttl_by_kind`</w:t>
      </w:r>
    </w:p>
    <w:p>
      <w:pPr>
        <w:pStyle w:val="ListBullet"/>
      </w:pPr>
      <w:r>
        <w:t>`immutable_kinds`</w:t>
      </w:r>
    </w:p>
    <w:p/>
    <w:p>
      <w:pPr>
        <w:pStyle w:val="Heading3"/>
      </w:pPr>
      <w:r>
        <w:t>Audit queries</w:t>
      </w:r>
    </w:p>
    <w:p>
      <w:r>
        <w:t>Audit views are bounded and workspace-scoped:</w:t>
      </w:r>
    </w:p>
    <w:p/>
    <w:p>
      <w:pPr>
        <w:pStyle w:val="ListBullet"/>
      </w:pPr>
      <w:r>
        <w:t>object timeline</w:t>
      </w:r>
    </w:p>
    <w:p>
      <w:pPr>
        <w:pStyle w:val="ListBullet"/>
      </w:pPr>
      <w:r>
        <w:t>memory_key timeline</w:t>
      </w:r>
    </w:p>
    <w:p>
      <w:pPr>
        <w:pStyle w:val="ListBullet"/>
      </w:pPr>
      <w:r>
        <w:t>actor activity</w:t>
      </w:r>
    </w:p>
    <w:p/>
    <w:p>
      <w:pPr>
        <w:pStyle w:val="Heading3"/>
      </w:pPr>
      <w:r>
        <w:t>Explainability</w:t>
      </w:r>
    </w:p>
    <w:p>
      <w:r>
        <w:t>Policy denials include deterministic metadata:</w:t>
      </w:r>
    </w:p>
    <w:p/>
    <w:p>
      <w:pPr>
        <w:pStyle w:val="ListBullet"/>
      </w:pPr>
      <w:r>
        <w:t>`reason_code`</w:t>
      </w:r>
    </w:p>
    <w:p>
      <w:pPr>
        <w:pStyle w:val="ListBullet"/>
      </w:pPr>
      <w:r>
        <w:t>`policy_rule_id`</w:t>
      </w:r>
    </w:p>
    <w:p/>
    <w:p>
      <w:pPr>
        <w:pStyle w:val="Heading2"/>
      </w:pPr>
      <w:r>
        <w:t>Memory pack principle (north-star)</w:t>
      </w:r>
    </w:p>
    <w:p>
      <w:r>
        <w:t>Small-context agents retrieve a governed memory pack from a much larger durable store. The system does not rely on agents reading massive history directly; it enforces scoped, policy-checked retrieval for each interaction.</w:t>
      </w:r>
    </w:p>
    <w:p/>
    <w:p>
      <w:pPr>
        <w:pStyle w:val="Heading2"/>
      </w:pPr>
      <w:r>
        <w:t>Minimal command reference</w:t>
      </w:r>
    </w:p>
    <w:p/>
    <w:p>
      <w:r>
        <w:rPr>
          <w:rFonts w:ascii="Consolas" w:hAnsi="Consolas"/>
        </w:rPr>
        <w:t>openbrain workspace info</w:t>
      </w:r>
    </w:p>
    <w:p>
      <w:r>
        <w:rPr>
          <w:rFonts w:ascii="Consolas" w:hAnsi="Consolas"/>
        </w:rPr>
        <w:t>openbrain audit object &lt;object_id&gt;</w:t>
      </w:r>
    </w:p>
    <w:p>
      <w:r>
        <w:rPr>
          <w:rFonts w:ascii="Consolas" w:hAnsi="Consolas"/>
        </w:rPr>
        <w:t>openbrain audit key &lt;memory_key&gt;</w:t>
      </w:r>
    </w:p>
    <w:p>
      <w:r>
        <w:rPr>
          <w:rFonts w:ascii="Consolas" w:hAnsi="Consolas"/>
        </w:rPr>
        <w:t>openbrain audit actor &lt;identity_id&gt;</w:t>
      </w:r>
    </w:p>
    <w:p>
      <w:r>
        <w:rPr>
          <w:rFonts w:ascii="Consolas" w:hAnsi="Consolas"/>
        </w:rPr>
        <w:t>openbrain retention show</w:t>
      </w:r>
    </w:p>
    <w:p>
      <w:r>
        <w:rPr>
          <w:rFonts w:ascii="Consolas" w:hAnsi="Consolas"/>
        </w:rPr>
        <w:t>openbrain embed coverage --workspace &lt;id&gt; --provider &lt;p&gt; --model &lt;m&gt;</w:t>
      </w:r>
    </w:p>
    <w:p>
      <w:r>
        <w:rPr>
          <w:rFonts w:ascii="Consolas" w:hAnsi="Consolas"/>
        </w:rPr>
        <w:t>openbrain embed reembed --workspace &lt;id&gt; --to-provider &lt;p&gt; --to-model &lt;m&gt; --dry-run</w:t>
      </w:r>
    </w:p>
    <w:p>
      <w:r>
        <w:br w:type="page"/>
      </w:r>
    </w:p>
    <w:p>
      <w:pPr>
        <w:pStyle w:val="Heading2"/>
      </w:pPr>
      <w:r>
        <w:t>Viewer Screenshots</w:t>
      </w:r>
    </w:p>
    <w:p>
      <w:r>
        <w:t>viewer-01-connection-token.png</w:t>
      </w:r>
    </w:p>
    <w:p>
      <w:r>
        <w:drawing>
          <wp:inline xmlns:a="http://schemas.openxmlformats.org/drawingml/2006/main" xmlns:pic="http://schemas.openxmlformats.org/drawingml/2006/picture">
            <wp:extent cx="6035040" cy="339471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iewer-01-connection-toke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947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viewer-02-workspace-info.png</w:t>
      </w:r>
    </w:p>
    <w:p>
      <w:r>
        <w:drawing>
          <wp:inline xmlns:a="http://schemas.openxmlformats.org/drawingml/2006/main" xmlns:pic="http://schemas.openxmlformats.org/drawingml/2006/picture">
            <wp:extent cx="6035040" cy="339471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iewer-02-workspace-inf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947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viewer-03-audit-object-timeline.png</w:t>
      </w:r>
    </w:p>
    <w:p>
      <w:r>
        <w:drawing>
          <wp:inline xmlns:a="http://schemas.openxmlformats.org/drawingml/2006/main" xmlns:pic="http://schemas.openxmlformats.org/drawingml/2006/picture">
            <wp:extent cx="6035040" cy="339471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iewer-03-audit-object-timelin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947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viewer-04-audit-memory-key.png</w:t>
      </w:r>
    </w:p>
    <w:p>
      <w:r>
        <w:drawing>
          <wp:inline xmlns:a="http://schemas.openxmlformats.org/drawingml/2006/main" xmlns:pic="http://schemas.openxmlformats.org/drawingml/2006/picture">
            <wp:extent cx="6035040" cy="339471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iewer-04-audit-memory-ke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947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viewer-05-audit-actor-activity.png</w:t>
      </w:r>
    </w:p>
    <w:p>
      <w:r>
        <w:drawing>
          <wp:inline xmlns:a="http://schemas.openxmlformats.org/drawingml/2006/main" xmlns:pic="http://schemas.openxmlformats.org/drawingml/2006/picture">
            <wp:extent cx="6035040" cy="339471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iewer-05-audit-actor-activit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947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viewer-06-retention-policy.png</w:t>
      </w:r>
    </w:p>
    <w:p>
      <w:r>
        <w:drawing>
          <wp:inline xmlns:a="http://schemas.openxmlformats.org/drawingml/2006/main" xmlns:pic="http://schemas.openxmlformats.org/drawingml/2006/picture">
            <wp:extent cx="6035040" cy="339471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iewer-06-retention-policy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947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viewer-07-object-inspector.png</w:t>
      </w:r>
    </w:p>
    <w:p>
      <w:r>
        <w:drawing>
          <wp:inline xmlns:a="http://schemas.openxmlformats.org/drawingml/2006/main" xmlns:pic="http://schemas.openxmlformats.org/drawingml/2006/picture">
            <wp:extent cx="6035040" cy="339471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iewer-07-object-inspector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947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viewer-08-deny-explainability.png</w:t>
      </w:r>
    </w:p>
    <w:p>
      <w:r>
        <w:drawing>
          <wp:inline xmlns:a="http://schemas.openxmlformats.org/drawingml/2006/main" xmlns:pic="http://schemas.openxmlformats.org/drawingml/2006/picture">
            <wp:extent cx="6035040" cy="339471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iewer-08-deny-explainability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9471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