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OpenBrain Enterprise Architecture &amp; Integration Specification</w:t>
      </w:r>
    </w:p>
    <w:p/>
    <w:p>
      <w:r>
        <w:t xml:space="preserve">Status: DRAFT (screenshots and final polish will be added after IT11A.1)</w:t>
      </w:r>
    </w:p>
    <w:p/>
    <w:p>
      <w:r>
        <w:t xml:space="preserve">Executive summary</w:t>
      </w:r>
    </w:p>
    <w:p>
      <w:r>
        <w:t xml:space="preserve">OpenBrain is a provider-agnostic state plane for AI systems. It separates stateless model inference from durable, governed memory. This enables teams to keep one shared memory substrate while switching or combining compute providers.</w:t>
      </w:r>
    </w:p>
    <w:p/>
    <w:p>
      <w:r>
        <w:t xml:space="preserve">Reference architecture</w:t>
      </w:r>
    </w:p>
    <w:p>
      <w:r>
        <w:t xml:space="preserve">Trust boundaries</w:t>
      </w:r>
    </w:p>
    <w:p>
      <w:r>
        <w:t xml:space="preserve">- Workspace is the primary tenant boundary.</w:t>
      </w:r>
    </w:p>
    <w:p>
      <w:r>
        <w:t xml:space="preserve">- Identity + role are authenticated per request.</w:t>
      </w:r>
    </w:p>
    <w:p>
      <w:r>
        <w:t xml:space="preserve">- Policy engine decisions are enforced before data access.</w:t>
      </w:r>
    </w:p>
    <w:p>
      <w:r>
        <w:t xml:space="preserve">- Audit history is append-only and workspace-scoped.</w:t>
      </w:r>
    </w:p>
    <w:p/>
    <w:p>
      <w:r>
        <w:t xml:space="preserve">Deployment topology</w:t>
      </w:r>
    </w:p>
    <w:p>
      <w:r>
        <w:t xml:space="preserve">- Local evaluation: Docker Compose with Postgres + pgvector + OpenBrain server.</w:t>
      </w:r>
    </w:p>
    <w:p>
      <w:r>
        <w:t xml:space="preserve">- Enterprise deployment: OpenBrain service with managed Postgres and existing network/secret controls.</w:t>
      </w:r>
    </w:p>
    <w:p/>
    <w:p>
      <w:r>
        <w:t xml:space="preserve">Interface contracts</w:t>
      </w:r>
    </w:p>
    <w:p>
      <w:r>
        <w:t xml:space="preserve">MCP contract groups</w:t>
      </w:r>
    </w:p>
    <w:p>
      <w:r>
        <w:t xml:space="preserve">- Core memory operations: ping, write, read, structured search, embed generate, semantic search.</w:t>
      </w:r>
    </w:p>
    <w:p>
      <w:r>
        <w:t xml:space="preserve">- Governance operations: workspace info and audit timelines.</w:t>
      </w:r>
    </w:p>
    <w:p>
      <w:r>
        <w:t xml:space="preserve">- Optional utility operations: rerank and memory pack.</w:t>
      </w:r>
    </w:p>
    <w:p/>
    <w:p>
      <w:r>
        <w:t xml:space="preserve">HTTP contract groups</w:t>
      </w:r>
    </w:p>
    <w:p>
      <w:r>
        <w:t xml:space="preserve">- Core `/v1/*` memory endpoints.</w:t>
      </w:r>
    </w:p>
    <w:p>
      <w:r>
        <w:t xml:space="preserve">- Governance `/v1/workspace/info` and `/v1/audit/*` endpoints.</w:t>
      </w:r>
    </w:p>
    <w:p>
      <w:r>
        <w:t xml:space="preserve">- SDK mirror behavior for TypeScript and Python clients.</w:t>
      </w:r>
    </w:p>
    <w:p/>
    <w:p>
      <w:r>
        <w:t xml:space="preserve">SDK usage patterns</w:t>
      </w:r>
    </w:p>
    <w:p>
      <w:r>
        <w:t xml:space="preserve">- TypeScript and Python SDKs support HTTP client usage and MCP helper workflows.</w:t>
      </w:r>
    </w:p>
    <w:p>
      <w:r>
        <w:t xml:space="preserve">- Integrations can use HTTP for services and MCP for agent runtimes.</w:t>
      </w:r>
    </w:p>
    <w:p/>
    <w:p>
      <w:r>
        <w:t xml:space="preserve">Security model</w:t>
      </w:r>
    </w:p>
    <w:p>
      <w:r>
        <w:t xml:space="preserve">- Workspace isolation with RBAC roles: owner, writer, reader.</w:t>
      </w:r>
    </w:p>
    <w:p>
      <w:r>
        <w:t xml:space="preserve">- Fine-grained policy rules as workspace data (`policy.rule`).</w:t>
      </w:r>
    </w:p>
    <w:p>
      <w:r>
        <w:t xml:space="preserve">- Deterministic denial payloads include `reason_code` and `policy_rule_id`.</w:t>
      </w:r>
    </w:p>
    <w:p>
      <w:r>
        <w:t xml:space="preserve">- No token plaintext storage in server persistence.</w:t>
      </w:r>
    </w:p>
    <w:p/>
    <w:p>
      <w:r>
        <w:t xml:space="preserve">Compliance and retention</w:t>
      </w:r>
    </w:p>
    <w:p>
      <w:r>
        <w:t xml:space="preserve">- Lifecycle model controls retrieval eligibility (`accepted` + not expired by default).</w:t>
      </w:r>
    </w:p>
    <w:p>
      <w:r>
        <w:t xml:space="preserve">- TTL controls support explicit expiry and policy-driven defaults.</w:t>
      </w:r>
    </w:p>
    <w:p>
      <w:r>
        <w:t xml:space="preserve">- `policy.retention` defines workspace retention boundaries:</w:t>
      </w:r>
    </w:p>
    <w:p>
      <w:r>
        <w:t xml:space="preserve">  - `default_ttl_by_kind`</w:t>
      </w:r>
    </w:p>
    <w:p>
      <w:r>
        <w:t xml:space="preserve">  - `max_ttl_by_kind`</w:t>
      </w:r>
    </w:p>
    <w:p>
      <w:r>
        <w:t xml:space="preserve">  - `immutable_kinds`</w:t>
      </w:r>
    </w:p>
    <w:p>
      <w:r>
        <w:t xml:space="preserve">- Audit endpoints expose timeline evidence without returning secret material.</w:t>
      </w:r>
    </w:p>
    <w:p/>
    <w:p>
      <w:r>
        <w:t xml:space="preserve">Operational requirements</w:t>
      </w:r>
    </w:p>
    <w:p>
      <w:r>
        <w:t xml:space="preserve">- Deterministic local quality gates: fmt, clippy, tests, cargo-deny, gitleaks.</w:t>
      </w:r>
    </w:p>
    <w:p>
      <w:r>
        <w:t xml:space="preserve">- Backup/restore follows standard Postgres operational practices.</w:t>
      </w:r>
    </w:p>
    <w:p>
      <w:r>
        <w:t xml:space="preserve">- Capacity planning focuses on Postgres storage/index health and semantic search query profile.</w:t>
      </w:r>
    </w:p>
    <w:p/>
    <w:p>
      <w:r>
        <w:t xml:space="preserve">Integration patterns</w:t>
      </w:r>
    </w:p>
    <w:p>
      <w:r>
        <w:t xml:space="preserve">- Agent-native pattern: MCP tools for write/read/search with governance checks.</w:t>
      </w:r>
    </w:p>
    <w:p>
      <w:r>
        <w:t xml:space="preserve">- Application pattern: HTTP + SDKs for backend services and automation.</w:t>
      </w:r>
    </w:p>
    <w:p>
      <w:r>
        <w:t xml:space="preserve">- Governance pattern: CLI inspect commands plus audit APIs for operator workflows.</w:t>
      </w:r>
    </w:p>
    <w:p/>
    <w:p>
      <w:r>
        <w:t xml:space="preserve">Risks, assumptions, and mitigations</w:t>
      </w:r>
    </w:p>
    <w:p>
      <w:r>
        <w:t xml:space="preserve">- Risk: policy misconfiguration can block expected flows.</w:t>
      </w:r>
    </w:p>
    <w:p>
      <w:r>
        <w:t xml:space="preserve">  - Mitigation: explainability fields on deny responses and audit timelines.</w:t>
      </w:r>
    </w:p>
    <w:p>
      <w:r>
        <w:t xml:space="preserve">- Risk: retention policies too permissive or too strict.</w:t>
      </w:r>
    </w:p>
    <w:p>
      <w:r>
        <w:t xml:space="preserve">  - Mitigation: policy-as-data with versioned updates and reviewable event history.</w:t>
      </w:r>
    </w:p>
    <w:p>
      <w:r>
        <w:t xml:space="preserve">- Assumption: PostgreSQL with pgvector is available in all target environments.</w:t>
      </w:r>
    </w:p>
    <w:p>
      <w:r>
        <w:t xml:space="preserve">  - Mitigation: Compose path for local parity and explicit enterprise deployment guidance.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OpenBrain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OpenBrain Documentation</dc:title>
  <dc:creator>OpenBrain</dc:creator>
</cp:coreProperties>
</file>