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723054" w14:textId="27EF49C1" w:rsidR="00AD12E7" w:rsidRPr="00812B20" w:rsidRDefault="00286352" w:rsidP="006F5B48">
      <w:pPr>
        <w:pStyle w:val="Titre"/>
      </w:pPr>
      <w:r>
        <w:t>A</w:t>
      </w:r>
      <w:r w:rsidR="008C2FBF" w:rsidRPr="00812B20">
        <w:t xml:space="preserve"> </w:t>
      </w:r>
      <w:r w:rsidR="008B5777" w:rsidRPr="00812B20">
        <w:t xml:space="preserve">RING </w:t>
      </w:r>
      <w:r w:rsidR="00AF23BF">
        <w:t xml:space="preserve">Meeting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AF23BF">
        <w:t>April</w:t>
      </w:r>
      <w:r w:rsidR="009D4857">
        <w:t xml:space="preserve"> 202</w:t>
      </w:r>
      <w:r w:rsidR="00AF23BF">
        <w:t xml:space="preserve">1, revised </w:t>
      </w:r>
      <w:r w:rsidR="0019070E">
        <w:t>Jan</w:t>
      </w:r>
      <w:r w:rsidR="00AF23BF">
        <w:t xml:space="preserve"> 202</w:t>
      </w:r>
      <w:r w:rsidR="0019070E">
        <w:t>5</w:t>
      </w:r>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w:t>
      </w:r>
      <w:proofErr w:type="gramStart"/>
      <w:r w:rsidR="00AD12E7" w:rsidRPr="00D716D3">
        <w:rPr>
          <w:vertAlign w:val="superscript"/>
        </w:rPr>
        <w:t>,2</w:t>
      </w:r>
      <w:proofErr w:type="gramEnd"/>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r w:rsidR="00833E24" w:rsidRPr="006F5B48">
        <w:rPr>
          <w:rStyle w:val="RINGAffiliationCar"/>
          <w:lang w:val="fr-FR"/>
        </w:rPr>
        <w:t>GeoRessources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2392D028" w:rsidR="00AD12E7" w:rsidRPr="00D716D3" w:rsidRDefault="00AF23BF" w:rsidP="006F5B48">
      <w:pPr>
        <w:pStyle w:val="GocadAffiliation"/>
      </w:pPr>
      <w:r>
        <w:t>September</w:t>
      </w:r>
      <w:r w:rsidR="00D8365B">
        <w:t xml:space="preserve"> 202</w:t>
      </w:r>
      <w:r w:rsidR="0019070E">
        <w:t>X</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19070E" w:rsidRDefault="00AD12E7" w:rsidP="006F5B48">
      <w:pPr>
        <w:pStyle w:val="GocadAffiliation"/>
        <w:rPr>
          <w:b/>
        </w:rPr>
      </w:pPr>
      <w:r w:rsidRPr="0019070E">
        <w:rPr>
          <w:b/>
        </w:rPr>
        <w:t>Abstract</w:t>
      </w:r>
    </w:p>
    <w:p w14:paraId="2ECAD12D" w14:textId="1FBAC2C1" w:rsidR="00AF23BF" w:rsidRDefault="00AF23BF" w:rsidP="006F5B48">
      <w:pPr>
        <w:pStyle w:val="RINGabstract"/>
      </w:pPr>
      <w:r w:rsidRPr="00AF23BF">
        <w:t>This is the RING Meeting paper template. It contains information about the formatting of papers and general guidelines about how to write a good paper. Authors are encouraged to read and apply these guidelines. This will help co-authors and reviewers to focus on the scientific content rather than on form issues.</w:t>
      </w:r>
    </w:p>
    <w:p w14:paraId="623D65DD" w14:textId="2BF9F222"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30735F1F"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AF23BF">
        <w:rPr>
          <w:rStyle w:val="Appelnotedebasdep"/>
        </w:rPr>
        <w:footnoteReference w:id="1"/>
      </w:r>
      <w:r w:rsidR="00EE553B" w:rsidRPr="006F5B48">
        <w:t>.</w:t>
      </w:r>
      <w:r w:rsidR="00EB3197">
        <w:t xml:space="preserve"> </w:t>
      </w:r>
    </w:p>
    <w:p w14:paraId="3A65D52F" w14:textId="7C2EDD86" w:rsidR="00591868" w:rsidRDefault="00AF23BF" w:rsidP="006F5B48">
      <w:r>
        <w:t>The</w:t>
      </w:r>
      <w:r w:rsidR="00C25753">
        <w:t xml:space="preserve">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w:t>
      </w:r>
      <w:r w:rsidR="00591868" w:rsidRPr="00591868">
        <w:t xml:space="preserve">A good literature read (maybe starting with some good review papers) is essential to avoid this stumbling block and quickly get to the main point of the work. A paper is not an encyclopedia and cannot explain all the prior knowledge in detail. Therefore, it is best to know a bit about the readership of your paper. The key to a good introduction is to tell a compelling story which goes for the general motivation / problem to your contributions using the appropriate level of detail. As a general rule, the level of detail in an introduction should be the same as in paper abstracts, or even more synthetic. In general, the length of an introduction varies between a half </w:t>
      </w:r>
      <w:r w:rsidR="00591868" w:rsidRPr="00591868">
        <w:lastRenderedPageBreak/>
        <w:t>page and two pages. It can help in many cases to support the introduction with a figure to express the problem and bulk idea / workflow of the paper</w:t>
      </w:r>
      <w:r w:rsidR="006C310C">
        <w:t xml:space="preserve">. </w:t>
      </w:r>
    </w:p>
    <w:p w14:paraId="2361C85C" w14:textId="11786AAA" w:rsidR="00AD12E7" w:rsidRPr="006F5B48" w:rsidRDefault="00C25753" w:rsidP="006F5B48">
      <w:r>
        <w:t>We strongly recommend the reading of the ‘scrutiny of the introduction’</w:t>
      </w:r>
      <w:r w:rsidR="00D56B80">
        <w:t xml:space="preserve"> </w:t>
      </w:r>
      <w:r w:rsidR="00D56B80">
        <w:fldChar w:fldCharType="begin"/>
      </w:r>
      <w:r w:rsidR="00CC399E">
        <w:instrText xml:space="preserve"> ADDIN ZOTERO_ITEM CSL_CITATION {"citationID":"IIDMxYkp","properties":{"formattedCitation":"({\\scaps Claerbout}, 1988)","plainCitation":"(Claerbout, 1988)","noteIndex":0},"citationItems":[{"id":3508,"uris":["http://zotero.org/users/1051299/items/K8CY6JPV"],"itemData":{"id":3508,"type":"chapter","collection-number":"59","collection-title":"Stanford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citation-key":"Claerbout1988S"}}],"schema":"https://github.com/citation-style-language/schema/raw/master/csl-citation.json"} </w:instrText>
      </w:r>
      <w:r w:rsidR="00D56B80">
        <w:fldChar w:fldCharType="separate"/>
      </w:r>
      <w:r w:rsidR="00EA6AF9" w:rsidRPr="00EA6AF9">
        <w:rPr>
          <w:szCs w:val="24"/>
        </w:rPr>
        <w:t>(</w:t>
      </w:r>
      <w:r w:rsidR="00EA6AF9" w:rsidRPr="00EA6AF9">
        <w:rPr>
          <w:smallCaps/>
          <w:szCs w:val="24"/>
        </w:rPr>
        <w:t>Claerbout</w:t>
      </w:r>
      <w:r w:rsidR="00EA6AF9" w:rsidRPr="00EA6AF9">
        <w:rPr>
          <w:szCs w:val="24"/>
        </w:rPr>
        <w:t>, 1988)</w:t>
      </w:r>
      <w:r w:rsidR="00D56B80">
        <w:fldChar w:fldCharType="end"/>
      </w:r>
      <w:r>
        <w:t>, as much as the ‘scrutiny of the abstract’</w:t>
      </w:r>
      <w:r w:rsidR="00D56B80">
        <w:t xml:space="preserve"> </w:t>
      </w:r>
      <w:r w:rsidR="00D56B80">
        <w:fldChar w:fldCharType="begin"/>
      </w:r>
      <w:r w:rsidR="00CC399E">
        <w:instrText xml:space="preserve"> ADDIN ZOTERO_ITEM CSL_CITATION {"citationID":"pe28fKyU","properties":{"formattedCitation":"({\\scaps Landes}, 1966)","plainCitation":"(Landes, 1966)","noteIndex":0},"citationItems":[{"id":3514,"uris":["http://zotero.org/users/1051299/items/WZSGI7TI"],"itemData":{"id":3514,"type":"article-journal","abstract":"The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K."}],"issued":{"date-parts":[["1966"]]},"citation-key":"Landes1966BAAPG"}}],"schema":"https://github.com/citation-style-language/schema/raw/master/csl-citation.json"} </w:instrText>
      </w:r>
      <w:r w:rsidR="00D56B80">
        <w:fldChar w:fldCharType="separate"/>
      </w:r>
      <w:r w:rsidR="00EA6AF9" w:rsidRPr="00EA6AF9">
        <w:rPr>
          <w:szCs w:val="24"/>
        </w:rPr>
        <w:t>(</w:t>
      </w:r>
      <w:r w:rsidR="00EA6AF9" w:rsidRPr="00EA6AF9">
        <w:rPr>
          <w:smallCaps/>
          <w:szCs w:val="24"/>
        </w:rPr>
        <w:t>Landes</w:t>
      </w:r>
      <w:r w:rsidR="00EA6AF9" w:rsidRPr="00EA6AF9">
        <w:rPr>
          <w:szCs w:val="24"/>
        </w:rPr>
        <w:t>,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CC399E">
        <w:instrText xml:space="preserve"> ADDIN ZOTERO_ITEM CSL_CITATION {"citationID":"kmBwvuA9","properties":{"formattedCitation":"({\\scaps Lowman}, 1998)","plainCitation":"(Lowman, 1998)","noteIndex":0},"citationItems":[{"id":3519,"uris":["http://zotero.org/users/1051299/items/YL34IGLQ"],"itemData":{"id":3519,"type":"article-journal","container-title":"Geology","DOI":"10.1130/0091-7613(1988)016&lt;1063:TAR&gt;2.3.CO;2","page":"1063","title":"The abstract Rescrutinized","author":[{"family":"Lowman","given":"Paul"}],"issued":{"date-parts":[["1998"]]},"citation-key":"Lowman1998G"}}],"schema":"https://github.com/citation-style-language/schema/raw/master/csl-citation.json"}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recommendations</w:t>
      </w:r>
      <w:r w:rsidR="00AF23BF">
        <w:t xml:space="preserve"> on the introduction and abstract</w:t>
      </w:r>
      <w:r w:rsidR="00713751">
        <w:t xml:space="preserve">.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4FE46A3" w14:textId="77777777" w:rsidR="00591868"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List the ideas and try to organize them and decide about a possible presentation order</w:t>
      </w:r>
      <w:r w:rsidR="00AF23BF">
        <w:t xml:space="preserve"> that will follow a logical </w:t>
      </w:r>
      <w:r w:rsidR="00591868">
        <w:t>progression</w:t>
      </w:r>
      <w:r w:rsidR="00F63F35">
        <w:t xml:space="preserve">.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xml:space="preserve">. </w:t>
      </w:r>
    </w:p>
    <w:p w14:paraId="498F2E2C" w14:textId="5FECA914" w:rsidR="0038159E" w:rsidRDefault="009179F7" w:rsidP="00C93A8C">
      <w:r>
        <w:t>Beware that all m</w:t>
      </w:r>
      <w:r w:rsidR="000D5822">
        <w:t>odel</w:t>
      </w:r>
      <w:r>
        <w:t xml:space="preserve">s </w:t>
      </w:r>
      <w:r w:rsidR="00591868">
        <w:t>imply</w:t>
      </w:r>
      <w:r>
        <w:t xml:space="preserve"> simplifications and rely on some</w:t>
      </w:r>
      <w:r w:rsidR="000D5822">
        <w:t xml:space="preserve"> assumptions</w:t>
      </w:r>
      <w:r>
        <w:t xml:space="preserve">. It is </w:t>
      </w:r>
      <w:r w:rsidR="00286352">
        <w:t xml:space="preserve">useful </w:t>
      </w:r>
      <w:r>
        <w:t xml:space="preserve">to make </w:t>
      </w:r>
      <w:r w:rsidR="00137B42">
        <w:t>modeling</w:t>
      </w:r>
      <w:r>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591868">
        <w:t>, unless in sentences where “we” means the reader and the authors, e.g., “We will now discuss the implications of theorem 3”</w:t>
      </w:r>
      <w:r w:rsidR="00137B42">
        <w:t>)</w:t>
      </w:r>
      <w:r w:rsidR="00C93A8C">
        <w:t>.</w:t>
      </w:r>
      <w:r>
        <w:t xml:space="preserve"> </w:t>
      </w:r>
      <w:r w:rsidR="00137B42">
        <w:t xml:space="preserve">Nonetheless, </w:t>
      </w:r>
      <w:r w:rsidR="00286352">
        <w:t>extensive</w:t>
      </w:r>
      <w:r w:rsidR="00137B42">
        <w:t xml:space="preserve"> discussions on model assumptions should, in general, be avoided in </w:t>
      </w:r>
      <w:r w:rsidR="00CC399E">
        <w:t>the methods</w:t>
      </w:r>
      <w:r w:rsidR="00137B42">
        <w:t xml:space="preserve">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6F334BAC"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“Several textbooks and reviews have extensively discussed theoretical and applied geomodeling</w:t>
      </w:r>
      <w:r>
        <w:t xml:space="preserve"> </w:t>
      </w:r>
      <w:r>
        <w:fldChar w:fldCharType="begin"/>
      </w:r>
      <w:r w:rsidR="00CC399E">
        <w:instrText xml:space="preserve"> ADDIN ZOTERO_ITEM CSL_CITATION {"citationID":"V7ycL22x","properties":{"formattedCitation":"(e.g., {\\scaps Mallet}, 2002, 2014; {\\scaps Perrin &amp; Rainaud}, 2013; {\\scaps Ringrose &amp; Bentley}, 2015; {\\scaps Wellmann &amp; Caumon}, 2018)","plainCitation":"(e.g., Mallet, 2002, 2014; Perrin &amp; Rainaud, 2013; Ringrose &amp; Bentley, 2015; Wellmann &amp; Caumon, 2018)","noteIndex":0},"citationItems":[{"id":48,"uris":["http://zotero.org/users/1051299/items/NUB4WGF3"],"itemData":{"id":48,"type":"book","collection-title":"Applied Geostatistics","ISBN":"0-19-514460-0","publisher":"Oxford University Press, USA","title":"Geomodeling","author":[{"family":"Mallet","given":"Jean-Laurent"}],"issued":{"date-parts":[["2002"]]},"citation-key":"Mallet2002"},"label":"page","prefix":"e.g.,"},{"id":1837,"uris":["http://zotero.org/users/1051299/items/FG4FWKDD"],"itemData":{"id":1837,"type":"book","ISBN":"90-73834-81-3","publisher":"EAGE publications","title":"Elements of mathematical sedimentary geology: The GeoChron model","author":[{"family":"Mallet","given":"Jean-Laurent"}],"issued":{"date-parts":[["2014"]]},"citation-key":"Mallet2014"}},{"id":1835,"uris":["http://zotero.org/users/1051299/items/HHEKAGJJ"],"itemData":{"id":1835,"type":"book","ISBN":"2-7108-1002-6","publisher":"Editions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id":1766,"uris":["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citation-key":"Ringrose2015"}},{"id":3075,"uris":["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Geophysics","DOI":"10.1016/bs.agph.2018.09.001","language":"en","license":"All rights reserved","page":"1-121","source":"Crossref","title":"3-D Structural geological models: Concepts, methods, and uncertainties","title-short":"3-D Structural geological models","volume":"59","author":[{"family":"Wellmann","given":"Florian"},{"family":"Caumon","given":"Guillaume"}],"issued":{"date-parts":[["2018"]]},"citation-key":"Wellmann2018AG"}}],"schema":"https://github.com/citation-style-language/schema/raw/master/csl-citation.json"} </w:instrText>
      </w:r>
      <w:r>
        <w:fldChar w:fldCharType="separate"/>
      </w:r>
      <w:r w:rsidR="00CC399E" w:rsidRPr="00CC399E">
        <w:rPr>
          <w:szCs w:val="24"/>
        </w:rPr>
        <w:t xml:space="preserve">(e.g., </w:t>
      </w:r>
      <w:r w:rsidR="00CC399E" w:rsidRPr="00CC399E">
        <w:rPr>
          <w:smallCaps/>
          <w:szCs w:val="24"/>
        </w:rPr>
        <w:t>Mallet</w:t>
      </w:r>
      <w:r w:rsidR="00CC399E" w:rsidRPr="00CC399E">
        <w:rPr>
          <w:szCs w:val="24"/>
        </w:rPr>
        <w:t xml:space="preserve">, 2002, 2014; </w:t>
      </w:r>
      <w:r w:rsidR="00CC399E" w:rsidRPr="00CC399E">
        <w:rPr>
          <w:smallCaps/>
          <w:szCs w:val="24"/>
        </w:rPr>
        <w:t>Perrin &amp; Rainaud</w:t>
      </w:r>
      <w:r w:rsidR="00CC399E" w:rsidRPr="00CC399E">
        <w:rPr>
          <w:szCs w:val="24"/>
        </w:rPr>
        <w:t xml:space="preserve">, 2013; </w:t>
      </w:r>
      <w:r w:rsidR="00CC399E" w:rsidRPr="00CC399E">
        <w:rPr>
          <w:smallCaps/>
          <w:szCs w:val="24"/>
        </w:rPr>
        <w:t>Ringrose &amp; Bentley</w:t>
      </w:r>
      <w:r w:rsidR="00CC399E" w:rsidRPr="00CC399E">
        <w:rPr>
          <w:szCs w:val="24"/>
        </w:rPr>
        <w:t xml:space="preserve">, 2015; </w:t>
      </w:r>
      <w:r w:rsidR="00CC399E" w:rsidRPr="00CC399E">
        <w:rPr>
          <w:smallCaps/>
          <w:szCs w:val="24"/>
        </w:rPr>
        <w:t>Wellmann &amp; Caumon</w:t>
      </w:r>
      <w:r w:rsidR="00CC399E" w:rsidRPr="00CC399E">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w:t>
      </w:r>
      <w:proofErr w:type="spellStart"/>
      <w:r w:rsidR="006F5B48" w:rsidRPr="00316EA9">
        <w:rPr>
          <w:smallCaps/>
        </w:rPr>
        <w:t>Rainaud</w:t>
      </w:r>
      <w:proofErr w:type="spellEnd"/>
      <w:r w:rsidR="006F5B48">
        <w:t xml:space="preserve"> </w:t>
      </w:r>
      <w:r w:rsidR="006F5B48">
        <w:fldChar w:fldCharType="begin"/>
      </w:r>
      <w:r w:rsidR="00CC399E">
        <w:instrText xml:space="preserve"> ADDIN ZOTERO_ITEM CSL_CITATION {"citationID":"q2PB86Ee","properties":{"formattedCitation":"(2013)","plainCitation":"(2013)","noteIndex":0},"citationItems":[{"id":1835,"uris":["http://zotero.org/users/1051299/items/HHEKAGJJ"],"itemData":{"id":1835,"type":"book","ISBN":"2-7108-1002-6","publisher":"Editions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CC399E">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citation-key":"Collon2017G"}},{"id":1005,"uris":["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citation-key":"Freeman1990FB"}},{"id":456,"uris":["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citation-key":"Kolditz2012EES"}}],"schema":"https://github.com/citation-style-language/schema/raw/master/csl-citation.json"} </w:instrText>
      </w:r>
      <w:r w:rsidR="008D7545">
        <w:fldChar w:fldCharType="separate"/>
      </w:r>
      <w:r w:rsidR="00FB6070" w:rsidRPr="00FB6070">
        <w:rPr>
          <w:szCs w:val="24"/>
        </w:rPr>
        <w:t>(</w:t>
      </w:r>
      <w:r w:rsidR="00FB6070" w:rsidRPr="00FB6070">
        <w:rPr>
          <w:smallCaps/>
          <w:szCs w:val="24"/>
        </w:rPr>
        <w:t>Collon et al.</w:t>
      </w:r>
      <w:r w:rsidR="00FB6070" w:rsidRPr="00FB6070">
        <w:rPr>
          <w:szCs w:val="24"/>
        </w:rPr>
        <w:t xml:space="preserve">, 2017; </w:t>
      </w:r>
      <w:r w:rsidR="00FB6070" w:rsidRPr="00FB6070">
        <w:rPr>
          <w:smallCaps/>
          <w:szCs w:val="24"/>
        </w:rPr>
        <w:t>Freeman, Yielding &amp; Badley</w:t>
      </w:r>
      <w:r w:rsidR="00FB6070" w:rsidRPr="00FB6070">
        <w:rPr>
          <w:szCs w:val="24"/>
        </w:rPr>
        <w:t xml:space="preserve">, 1990; </w:t>
      </w:r>
      <w:r w:rsidR="00FB6070" w:rsidRPr="00FB6070">
        <w:rPr>
          <w:smallCaps/>
          <w:szCs w:val="24"/>
        </w:rPr>
        <w:t>Kolditz et al.</w:t>
      </w:r>
      <w:r w:rsidR="00FB6070" w:rsidRPr="00FB6070">
        <w:rPr>
          <w:szCs w:val="24"/>
        </w:rPr>
        <w:t>, 2012)</w:t>
      </w:r>
      <w:r w:rsidR="008D7545">
        <w:fldChar w:fldCharType="end"/>
      </w:r>
      <w:r w:rsidR="00CC399E">
        <w:t>. Prefixes or suffixes can be used</w:t>
      </w:r>
      <w:r w:rsidR="00700560">
        <w:t xml:space="preserve">, </w:t>
      </w:r>
      <w:r w:rsidR="00CC399E">
        <w:t xml:space="preserve">for example : “Homogenization allows to transform a detailed elastic model into a smooth equivalent medium </w:t>
      </w:r>
      <w:r w:rsidR="00CC399E">
        <w:fldChar w:fldCharType="begin"/>
      </w:r>
      <w:r w:rsidR="00CC399E">
        <w:instrText xml:space="preserve"> ADDIN ZOTERO_ITEM CSL_CITATION {"citationID":"O1IUvt1j","properties":{"formattedCitation":"(see {\\scaps Capdeville, Cupillard &amp; Singh}, 2020 and references therein)","plainCitation":"(see Capdeville, Cupillard &amp; Singh, 2020 and references therein)","noteIndex":0},"citationItems":[{"id":3995,"uris":["http://zotero.org/users/1051299/items/KD9RGJTS"],"itemData":{"id":3995,"type":"chapter","container-title":"Advances in Geophysics","ISBN":"978-0-12-821669-9","language":"en","note":"tex.ids= Capdeville2020AiGa\nDOI: 10.1016/bs.agph.2020.07.001","page":"217-306","publisher":"Elsevier","source":"DOI.org (Crossref)","title":"An introduction to the two-scale homogenization method for seismology","URL":"https://linkinghub.elsevier.com/retrieve/pii/S0065268720300017","volume":"61","author":[{"family":"Capdeville","given":"Yann"},{"family":"Cupillard","given":"Paul"},{"family":"Singh","given":"Sneha"}],"accessed":{"date-parts":[["2021",3,4]]},"issued":{"date-parts":[["2020"]]},"citation-key":"Capdeville2020AiG"},"label":"page","prefix":"see ","suffix":"and references therein"}],"schema":"https://github.com/citation-style-language/schema/raw/master/csl-citation.json"} </w:instrText>
      </w:r>
      <w:r w:rsidR="00CC399E">
        <w:fldChar w:fldCharType="separate"/>
      </w:r>
      <w:r w:rsidR="00CC399E" w:rsidRPr="00CC399E">
        <w:rPr>
          <w:szCs w:val="24"/>
        </w:rPr>
        <w:t xml:space="preserve">(see </w:t>
      </w:r>
      <w:r w:rsidR="00CC399E" w:rsidRPr="00CC399E">
        <w:rPr>
          <w:smallCaps/>
          <w:szCs w:val="24"/>
        </w:rPr>
        <w:t>Capdeville, Cupillard &amp; Singh</w:t>
      </w:r>
      <w:r w:rsidR="00CC399E" w:rsidRPr="00CC399E">
        <w:rPr>
          <w:szCs w:val="24"/>
        </w:rPr>
        <w:t>, 2020 and references therein)</w:t>
      </w:r>
      <w:r w:rsidR="00CC399E">
        <w:fldChar w:fldCharType="end"/>
      </w:r>
      <w:r w:rsidR="00CC399E">
        <w:t xml:space="preserve">”. Suffixes should also be used to refer to specific sections / chapters of </w:t>
      </w:r>
      <w:r w:rsidR="00CC399E">
        <w:fldChar w:fldCharType="begin"/>
      </w:r>
      <w:r w:rsidR="00CC399E">
        <w:instrText xml:space="preserve"> ADDIN ZOTERO_ITEM CSL_CITATION {"citationID":"0WaaPr0h","properties":{"formattedCitation":"(e.g., {\\scaps Mallet}, 2014, p. 115\\uc0\\u8209{}126)","plainCitation":"(e.g., Mallet, 2014, p. 115‑126)","noteIndex":0},"citationItems":[{"id":1837,"uris":["http://zotero.org/users/1051299/items/FG4FWKDD"],"itemData":{"id":1837,"type":"book","ISBN":"90-73834-81-3","publisher":"EAGE publications","title":"Elements of mathematical sedimentary geology: The GeoChron model","author":[{"family":"Mallet","given":"Jean-Laurent"}],"issued":{"date-parts":[["2014"]]},"citation-key":"Mallet2014"},"locator":"115-126","label":"page","prefix":"e.g.,"}],"schema":"https://github.com/citation-style-language/schema/raw/master/csl-citation.json"} </w:instrText>
      </w:r>
      <w:r w:rsidR="00CC399E">
        <w:fldChar w:fldCharType="separate"/>
      </w:r>
      <w:r w:rsidR="00CC399E" w:rsidRPr="00CC399E">
        <w:rPr>
          <w:szCs w:val="24"/>
        </w:rPr>
        <w:t xml:space="preserve">(e.g., </w:t>
      </w:r>
      <w:r w:rsidR="00CC399E" w:rsidRPr="00CC399E">
        <w:rPr>
          <w:smallCaps/>
          <w:szCs w:val="24"/>
        </w:rPr>
        <w:t>Mallet</w:t>
      </w:r>
      <w:r w:rsidR="00CC399E" w:rsidRPr="00CC399E">
        <w:rPr>
          <w:szCs w:val="24"/>
        </w:rPr>
        <w:t>, 2014, p. 115‑126)</w:t>
      </w:r>
      <w:r w:rsidR="00CC399E">
        <w:fldChar w:fldCharType="end"/>
      </w:r>
      <w:r w:rsidR="00CC399E">
        <w:t>.</w:t>
      </w:r>
      <w:r w:rsidR="00700560">
        <w:t xml:space="preserve"> </w:t>
      </w:r>
      <w:r w:rsidR="00700560" w:rsidRPr="00700560">
        <w:t xml:space="preserve">Such precisions are important to add precision to the citation and </w:t>
      </w:r>
      <w:r w:rsidR="00700560">
        <w:t xml:space="preserve">to </w:t>
      </w:r>
      <w:r w:rsidR="00700560" w:rsidRPr="00700560">
        <w:t xml:space="preserve">help the reader distinguish between example illustrating a general statement or some more specific contributions. </w:t>
      </w:r>
    </w:p>
    <w:p w14:paraId="2C2C2722" w14:textId="5C266408" w:rsidR="00AD12E7" w:rsidRPr="0066480C" w:rsidRDefault="000D1DF6" w:rsidP="000D5822">
      <w:pPr>
        <w:pStyle w:val="RINGSubSubSection"/>
      </w:pPr>
      <w:r w:rsidRPr="0066480C">
        <w:t>Configuring Zotero</w:t>
      </w:r>
      <w:r w:rsidR="0066480C" w:rsidRPr="0066480C">
        <w:t xml:space="preserve"> to use </w:t>
      </w:r>
      <w:r w:rsidR="00914E63">
        <w:t>the RING202</w:t>
      </w:r>
      <w:r w:rsidR="00700560">
        <w:t>3</w:t>
      </w:r>
      <w:r w:rsidR="00914E63">
        <w:t xml:space="preserve"> style</w:t>
      </w:r>
      <w:bookmarkStart w:id="0" w:name="_GoBack"/>
      <w:bookmarkEnd w:id="0"/>
    </w:p>
    <w:p w14:paraId="34E61DB7" w14:textId="51410037"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RING202</w:t>
      </w:r>
      <w:r w:rsidR="00700560">
        <w:t>3</w:t>
      </w:r>
      <w:r w:rsidR="00914E63">
        <w:t>.c</w:t>
      </w:r>
      <w:r w:rsidR="00B953C1">
        <w:t>s</w:t>
      </w:r>
      <w:r w:rsidR="008F75EB">
        <w:t>l</w:t>
      </w:r>
      <w:r w:rsidR="00914E63">
        <w:t xml:space="preserve">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53FE65CE" w:rsidR="00AD12E7" w:rsidRPr="00D716D3" w:rsidRDefault="000D1DF6" w:rsidP="000D5822">
      <w:pPr>
        <w:pStyle w:val="RINGSubSubSection"/>
      </w:pPr>
      <w:r>
        <w:t>Configuring Mendeley</w:t>
      </w:r>
      <w:r w:rsidR="0066480C">
        <w:t xml:space="preserve"> to use </w:t>
      </w:r>
      <w:r w:rsidR="00914E63">
        <w:t>the RING202</w:t>
      </w:r>
      <w:r w:rsidR="00700560">
        <w:t>3</w:t>
      </w:r>
      <w:r w:rsidR="00914E63">
        <w:t xml:space="preserve">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lastRenderedPageBreak/>
        <w:t>Figures</w:t>
      </w:r>
    </w:p>
    <w:p w14:paraId="6AF6BE49" w14:textId="471B2020" w:rsidR="005C5433" w:rsidRDefault="002E6CD2" w:rsidP="005C5433">
      <w:pPr>
        <w:pStyle w:val="RINGFigure"/>
      </w:pPr>
      <w:r>
        <w:rPr>
          <w:noProof/>
          <w:lang w:val="fr-FR" w:eastAsia="fr-FR"/>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1"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1"/>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78FF68D"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w:t>
      </w:r>
      <w:proofErr w:type="spellStart"/>
      <w:r w:rsidR="00D60343">
        <w:t>lossy</w:t>
      </w:r>
      <w:proofErr w:type="spellEnd"/>
      <w:r w:rsidR="00D60343">
        <w:t xml:space="preserve">)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Please use Arial for figure annotations and labeling</w:t>
      </w:r>
      <w:r w:rsidR="00700560">
        <w:t xml:space="preserve">, </w:t>
      </w:r>
      <w:r w:rsidR="00700560" w:rsidRPr="00700560">
        <w:t xml:space="preserve">and check that the label size has approximately the same size as the main text </w:t>
      </w:r>
      <w:r w:rsidR="00700560">
        <w:t>in the final document</w:t>
      </w:r>
      <w:r w:rsidR="00700560" w:rsidRPr="00700560">
        <w:t>.</w:t>
      </w:r>
      <w:r>
        <w:t xml:space="preserve">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38F227FC" w14:textId="7D24065A" w:rsidR="00700560" w:rsidRDefault="00700560" w:rsidP="006F5B48">
      <w:pPr>
        <w:pStyle w:val="GocadNormal"/>
      </w:pPr>
      <w:r w:rsidRPr="00700560">
        <w:t>Please place figures at top of pages (the default placement option</w:t>
      </w:r>
      <w:r>
        <w:t xml:space="preserve"> in LaTeX</w:t>
      </w:r>
      <w:r w:rsidRPr="00700560">
        <w:t>) to avoid fragmenting the text. Include figures in the same order as cited in the text so that the reader does not see a reference to Fig. 6 before s</w:t>
      </w:r>
      <w:r>
        <w:t>e</w:t>
      </w:r>
      <w:r w:rsidRPr="00700560">
        <w:t>eing the reference to Fig. 4.</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2"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2"/>
          </w:p>
        </w:tc>
      </w:tr>
    </w:tbl>
    <w:p w14:paraId="0B1DB4DA" w14:textId="77777777" w:rsidR="00700560" w:rsidRDefault="005C3E9B" w:rsidP="00700560">
      <w:pPr>
        <w:ind w:firstLine="0"/>
        <w:rPr>
          <w:rFonts w:cs="Mangal"/>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w:t>
      </w:r>
      <w:r w:rsidR="00700560">
        <w:t>only</w:t>
      </w:r>
      <w:r w:rsidR="00A771DF">
        <w:t xml:space="preserve"> be indented</w:t>
      </w:r>
      <w:r w:rsidR="00700560">
        <w:t xml:space="preserve"> if a new paragraph is started</w:t>
      </w:r>
      <w:r w:rsidR="00A771DF">
        <w:t>.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w:t>
      </w:r>
      <w:proofErr w:type="gramStart"/>
      <w:r w:rsidR="000F7A1D">
        <w:t xml:space="preserve">data </w:t>
      </w:r>
      <w:proofErr w:type="gramEnd"/>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w:t>
      </w:r>
      <w:proofErr w:type="gramStart"/>
      <w:r w:rsidR="000F7A1D">
        <w:rPr>
          <w:rStyle w:val="EqStyleCar"/>
        </w:rPr>
        <w:t xml:space="preserve">distribution </w:t>
      </w:r>
      <w:proofErr w:type="gramEnd"/>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700560">
        <w:rPr>
          <w:rFonts w:cs="Mangal"/>
          <w:szCs w:val="22"/>
        </w:rPr>
        <w:t>”</w:t>
      </w:r>
    </w:p>
    <w:p w14:paraId="075D267E" w14:textId="0C288FB4" w:rsidR="005C3E9B" w:rsidRPr="00700560" w:rsidRDefault="00286352" w:rsidP="00700560">
      <w:pPr>
        <w:ind w:firstLine="720"/>
        <w:rPr>
          <w:rFonts w:cs="Mangal"/>
          <w:szCs w:val="22"/>
        </w:rPr>
      </w:pPr>
      <w:r>
        <w:rPr>
          <w:szCs w:val="22"/>
        </w:rPr>
        <w:t xml:space="preserve">Further useful recommendations about how to write good mathematics </w:t>
      </w:r>
      <w:r w:rsidR="000C585B">
        <w:rPr>
          <w:szCs w:val="22"/>
        </w:rPr>
        <w:t xml:space="preserve">(and, more generally, good papers) </w:t>
      </w:r>
      <w:r>
        <w:rPr>
          <w:szCs w:val="22"/>
        </w:rPr>
        <w:t xml:space="preserve">are </w:t>
      </w:r>
      <w:r w:rsidR="000C585B">
        <w:rPr>
          <w:szCs w:val="22"/>
        </w:rPr>
        <w:t xml:space="preserve">given by Lee </w:t>
      </w:r>
      <w:r w:rsidR="000C585B">
        <w:rPr>
          <w:szCs w:val="22"/>
        </w:rPr>
        <w:fldChar w:fldCharType="begin"/>
      </w:r>
      <w:r w:rsidR="00CC399E">
        <w:rPr>
          <w:szCs w:val="22"/>
        </w:rPr>
        <w:instrText xml:space="preserve"> ADDIN ZOTERO_ITEM CSL_CITATION {"citationID":"pWY7z5AB","properties":{"formattedCitation":"(2010)","plainCitation":"(2010)","noteIndex":0},"citationItems":[{"id":3512,"uris":["http://zotero.org/users/1051299/items/GQQNAJ22"],"itemData":{"id":3512,"type":"manuscript","event-place":"Purdue University","genre":"Lecture notes","language":"en","number-of-pages":"17","publisher-place":"Purdue University","source":"Zotero","title":"A Guide to Writing Mathematics","URL":"http://","author":[{"family":"Lee","given":"Dr Kevin P"}],"issued":{"date-parts":[["2010"]]},"citation-key":"Lee2010"},"suppress-author":true}],"schema":"https://github.com/citation-style-language/schema/raw/master/csl-citation.json"}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lastRenderedPageBreak/>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4C2FBE87"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EAD315C" w14:textId="7294C717" w:rsidR="00C66281" w:rsidRDefault="00C66281" w:rsidP="000543D7">
      <w:pPr>
        <w:rPr>
          <w:szCs w:val="22"/>
        </w:rPr>
      </w:pPr>
      <w:r w:rsidRPr="00C66281">
        <w:rPr>
          <w:szCs w:val="22"/>
        </w:rPr>
        <w:t>Presenting and commenting results can be challenging. As in the main text, think about the story you want to tell</w:t>
      </w:r>
      <w:r>
        <w:rPr>
          <w:szCs w:val="22"/>
        </w:rPr>
        <w:t>.</w:t>
      </w:r>
      <w:r w:rsidRPr="00C66281">
        <w:rPr>
          <w:szCs w:val="22"/>
        </w:rPr>
        <w:t xml:space="preserve"> </w:t>
      </w:r>
      <w:r>
        <w:rPr>
          <w:szCs w:val="22"/>
        </w:rPr>
        <w:t>P</w:t>
      </w:r>
      <w:r w:rsidRPr="00C66281">
        <w:rPr>
          <w:szCs w:val="22"/>
        </w:rPr>
        <w:t xml:space="preserve">lan </w:t>
      </w:r>
      <w:r>
        <w:rPr>
          <w:szCs w:val="22"/>
        </w:rPr>
        <w:t xml:space="preserve">ahead </w:t>
      </w:r>
      <w:r w:rsidRPr="00C66281">
        <w:rPr>
          <w:szCs w:val="22"/>
        </w:rPr>
        <w:t xml:space="preserve">for creating figures where the features </w:t>
      </w:r>
      <w:r>
        <w:rPr>
          <w:szCs w:val="22"/>
        </w:rPr>
        <w:t xml:space="preserve">of interest </w:t>
      </w:r>
      <w:r w:rsidRPr="00C66281">
        <w:rPr>
          <w:szCs w:val="22"/>
        </w:rPr>
        <w:t>clearly appear. Avoid paraphrasing figures</w:t>
      </w:r>
      <w:r>
        <w:rPr>
          <w:szCs w:val="22"/>
        </w:rPr>
        <w:t xml:space="preserve"> in the main text or in the legend</w:t>
      </w:r>
      <w:r w:rsidRPr="00C66281">
        <w:rPr>
          <w:szCs w:val="22"/>
        </w:rPr>
        <w:t>, but rather highlight the salient aspects and comment / interpret. A good results section should teach us something.</w:t>
      </w:r>
    </w:p>
    <w:p w14:paraId="52A02125" w14:textId="4E575231" w:rsidR="00EA7673" w:rsidRDefault="00EA7673" w:rsidP="00EA7673">
      <w:pPr>
        <w:pStyle w:val="Titre1"/>
      </w:pPr>
      <w:bookmarkStart w:id="3" w:name="_Ref37265013"/>
      <w:r>
        <w:t>Discussion</w:t>
      </w:r>
      <w:bookmarkEnd w:id="3"/>
      <w:r w:rsidR="002F4A44">
        <w:t xml:space="preserve"> </w:t>
      </w:r>
      <w:r w:rsidR="002F4A44" w:rsidRPr="002F4A44">
        <w:t>[Section title Can be changed to be more specific]</w:t>
      </w:r>
    </w:p>
    <w:p w14:paraId="130219B0" w14:textId="2694FFE3"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3D29734B" w14:textId="0E598921" w:rsidR="00D92FE8" w:rsidRDefault="00D92FE8" w:rsidP="000543D7">
      <w:r w:rsidRPr="00D92FE8">
        <w:t xml:space="preserve">This section is the place to do philosophy, and to integrate the learnings from the method and results section. It is common that doubts and may persist on some aspects of the paper. The discussion is the place to </w:t>
      </w:r>
      <w:proofErr w:type="gramStart"/>
      <w:r w:rsidRPr="00D92FE8">
        <w:t>discuss(</w:t>
      </w:r>
      <w:proofErr w:type="gramEnd"/>
      <w:r w:rsidRPr="00D92FE8">
        <w:t>!) these doubts: as Richard Feynman said, ``When a scientist doesn't know the answer to a problem, he is ignorant. When he has a hunch as to what the result is, he is uncertain. And when he is pretty damn sure of what the result is going to be, he is still in some doubt''. In terms of style, please make a clear distinction between facts, interpretations, speculations</w:t>
      </w:r>
      <w:r>
        <w:t>,</w:t>
      </w:r>
      <w:r w:rsidRPr="00D92FE8">
        <w:t xml:space="preserve"> and opinions.</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4F6873AE" w:rsidR="00D716D3" w:rsidRPr="00D716D3" w:rsidRDefault="00462BDF" w:rsidP="006F5B48">
      <w:pPr>
        <w:rPr>
          <w:lang w:eastAsia="en-US"/>
        </w:rPr>
      </w:pPr>
      <w:r>
        <w:rPr>
          <w:lang w:eastAsia="en-US"/>
        </w:rPr>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xml:space="preserve">) at Université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w:t>
      </w:r>
      <w:proofErr w:type="spellStart"/>
      <w:r w:rsidR="00D716D3" w:rsidRPr="00D716D3">
        <w:rPr>
          <w:lang w:eastAsia="en-US"/>
        </w:rPr>
        <w:t>Gocad</w:t>
      </w:r>
      <w:proofErr w:type="spellEnd"/>
      <w:r w:rsidR="00D716D3" w:rsidRPr="00D716D3">
        <w:rPr>
          <w:lang w:eastAsia="en-US"/>
        </w:rPr>
        <w:t xml:space="preserve"> geomodeling software]. We also acknowledge [</w:t>
      </w:r>
      <w:r w:rsidR="001A3998">
        <w:rPr>
          <w:lang w:eastAsia="en-US"/>
        </w:rPr>
        <w:t>AspenTech</w:t>
      </w:r>
      <w:r w:rsidR="00D716D3" w:rsidRPr="00D716D3">
        <w:rPr>
          <w:lang w:eastAsia="en-US"/>
        </w:rPr>
        <w:t xml:space="preserve"> for the SKUA-Gocad Software and development kit | S</w:t>
      </w:r>
      <w:r w:rsidR="00D92FE8">
        <w:rPr>
          <w:lang w:eastAsia="en-US"/>
        </w:rPr>
        <w:t>LB</w:t>
      </w:r>
      <w:r w:rsidR="00D716D3" w:rsidRPr="00D716D3">
        <w:rPr>
          <w:lang w:eastAsia="en-US"/>
        </w:rPr>
        <w:t xml:space="preserve">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3E3C5A2C" w14:textId="77777777" w:rsidR="00CC399E" w:rsidRPr="00CC399E" w:rsidRDefault="0052039E" w:rsidP="00CC399E">
      <w:pPr>
        <w:pStyle w:val="Bibliographie"/>
        <w:rPr>
          <w:sz w:val="20"/>
        </w:rPr>
      </w:pPr>
      <w:r>
        <w:fldChar w:fldCharType="begin"/>
      </w:r>
      <w:r w:rsidR="00EA6AF9">
        <w:instrText xml:space="preserve"> ADDIN ZOTERO_BIBL {"uncited":[],"omitted":[],"custom":[]} CSL_BIBLIOGRAPHY </w:instrText>
      </w:r>
      <w:r>
        <w:fldChar w:fldCharType="separate"/>
      </w:r>
      <w:r w:rsidR="00CC399E" w:rsidRPr="00CC399E">
        <w:rPr>
          <w:smallCaps/>
          <w:sz w:val="20"/>
        </w:rPr>
        <w:t>Capdeville Y, Cupillard P &amp; Singh S</w:t>
      </w:r>
      <w:r w:rsidR="00CC399E" w:rsidRPr="00CC399E">
        <w:rPr>
          <w:sz w:val="20"/>
        </w:rPr>
        <w:t xml:space="preserve">. (2020). An introduction to the two-scale homogenization method for seismology. In: </w:t>
      </w:r>
      <w:r w:rsidR="00CC399E" w:rsidRPr="00CC399E">
        <w:rPr>
          <w:i/>
          <w:iCs/>
          <w:sz w:val="20"/>
        </w:rPr>
        <w:t>Advances in Geophysics</w:t>
      </w:r>
      <w:r w:rsidR="00CC399E" w:rsidRPr="00CC399E">
        <w:rPr>
          <w:sz w:val="20"/>
        </w:rPr>
        <w:t xml:space="preserve"> (Vol. 61, p. 217‑306). Elsevier. https://doi.org/10.1016/bs.agph.2020.07.001</w:t>
      </w:r>
    </w:p>
    <w:p w14:paraId="2C5C1E35" w14:textId="77777777" w:rsidR="00CC399E" w:rsidRPr="00CC399E" w:rsidRDefault="00CC399E" w:rsidP="00CC399E">
      <w:pPr>
        <w:pStyle w:val="Bibliographie"/>
        <w:rPr>
          <w:sz w:val="20"/>
        </w:rPr>
      </w:pPr>
      <w:r w:rsidRPr="00CC399E">
        <w:rPr>
          <w:smallCaps/>
          <w:sz w:val="20"/>
        </w:rPr>
        <w:lastRenderedPageBreak/>
        <w:t>Claerbout J</w:t>
      </w:r>
      <w:r w:rsidRPr="00CC399E">
        <w:rPr>
          <w:sz w:val="20"/>
        </w:rPr>
        <w:t xml:space="preserve">. (1988). A scrutiny of the introduction. In: </w:t>
      </w:r>
      <w:r w:rsidRPr="00CC399E">
        <w:rPr>
          <w:i/>
          <w:iCs/>
          <w:sz w:val="20"/>
        </w:rPr>
        <w:t>SEP-59</w:t>
      </w:r>
      <w:r w:rsidRPr="00CC399E">
        <w:rPr>
          <w:sz w:val="20"/>
        </w:rPr>
        <w:t xml:space="preserve"> (p. 287‑290). http://sep.stanford.edu/data/media/public/oldreports/oldreports/oldreports/sep59/</w:t>
      </w:r>
    </w:p>
    <w:p w14:paraId="64FF9106" w14:textId="77777777" w:rsidR="00CC399E" w:rsidRPr="00CC399E" w:rsidRDefault="00CC399E" w:rsidP="00CC399E">
      <w:pPr>
        <w:pStyle w:val="Bibliographie"/>
        <w:rPr>
          <w:sz w:val="20"/>
        </w:rPr>
      </w:pPr>
      <w:r w:rsidRPr="00CC399E">
        <w:rPr>
          <w:smallCaps/>
          <w:sz w:val="20"/>
          <w:lang w:val="fr-FR"/>
        </w:rPr>
        <w:t>Collon P, Bernasconi D, Vuilleumier C &amp; Renard P</w:t>
      </w:r>
      <w:r w:rsidRPr="00CC399E">
        <w:rPr>
          <w:sz w:val="20"/>
          <w:lang w:val="fr-FR"/>
        </w:rPr>
        <w:t xml:space="preserve">. (2017). </w:t>
      </w:r>
      <w:r w:rsidRPr="00CC399E">
        <w:rPr>
          <w:sz w:val="20"/>
        </w:rPr>
        <w:t xml:space="preserve">Statistical metrics for the characterization of karst network geometry and topology. </w:t>
      </w:r>
      <w:r w:rsidRPr="00CC399E">
        <w:rPr>
          <w:i/>
          <w:iCs/>
          <w:sz w:val="20"/>
        </w:rPr>
        <w:t>Geomorphology</w:t>
      </w:r>
      <w:r w:rsidRPr="00CC399E">
        <w:rPr>
          <w:sz w:val="20"/>
        </w:rPr>
        <w:t xml:space="preserve"> </w:t>
      </w:r>
      <w:r w:rsidRPr="00CC399E">
        <w:rPr>
          <w:i/>
          <w:iCs/>
          <w:sz w:val="20"/>
        </w:rPr>
        <w:t>283</w:t>
      </w:r>
      <w:r w:rsidRPr="00CC399E">
        <w:rPr>
          <w:sz w:val="20"/>
        </w:rPr>
        <w:t>:122‑142. https://doi.org/10.1016/j.geomorph.2017.01.034</w:t>
      </w:r>
    </w:p>
    <w:p w14:paraId="3B6B6EBE" w14:textId="77777777" w:rsidR="00CC399E" w:rsidRPr="00CC399E" w:rsidRDefault="00CC399E" w:rsidP="00CC399E">
      <w:pPr>
        <w:pStyle w:val="Bibliographie"/>
        <w:rPr>
          <w:sz w:val="20"/>
        </w:rPr>
      </w:pPr>
      <w:r w:rsidRPr="00CC399E">
        <w:rPr>
          <w:smallCaps/>
          <w:sz w:val="20"/>
        </w:rPr>
        <w:t>Freeman B, Yielding G &amp; Badley M</w:t>
      </w:r>
      <w:r w:rsidRPr="00CC399E">
        <w:rPr>
          <w:sz w:val="20"/>
        </w:rPr>
        <w:t xml:space="preserve">. (1990). Fault correlation during seismic interpretation. </w:t>
      </w:r>
      <w:r w:rsidRPr="00CC399E">
        <w:rPr>
          <w:i/>
          <w:iCs/>
          <w:sz w:val="20"/>
        </w:rPr>
        <w:t>First Break</w:t>
      </w:r>
      <w:r w:rsidRPr="00CC399E">
        <w:rPr>
          <w:sz w:val="20"/>
        </w:rPr>
        <w:t xml:space="preserve"> </w:t>
      </w:r>
      <w:r w:rsidRPr="00CC399E">
        <w:rPr>
          <w:i/>
          <w:iCs/>
          <w:sz w:val="20"/>
        </w:rPr>
        <w:t>8</w:t>
      </w:r>
      <w:r w:rsidRPr="00CC399E">
        <w:rPr>
          <w:sz w:val="20"/>
        </w:rPr>
        <w:t>(3). http://www.earthdoc.org/publication/publicationdetails/?publication=28228</w:t>
      </w:r>
    </w:p>
    <w:p w14:paraId="23844784" w14:textId="77777777" w:rsidR="00CC399E" w:rsidRPr="00CC399E" w:rsidRDefault="00CC399E" w:rsidP="00CC399E">
      <w:pPr>
        <w:pStyle w:val="Bibliographie"/>
        <w:rPr>
          <w:sz w:val="20"/>
        </w:rPr>
      </w:pPr>
      <w:r w:rsidRPr="00CC399E">
        <w:rPr>
          <w:smallCaps/>
          <w:sz w:val="20"/>
        </w:rPr>
        <w:t>Kolditz O, Bauer S, Bilke L, Böttcher N, Delfs JO, Fischer T, Görke UJ, Kalbacher T, Kosakowski G, McDermott CI, Park CH, Radu F, Rink K, Shao H, Shao HB, Sun F, Sun YY, Singh AK, Taron J, … Zehner B</w:t>
      </w:r>
      <w:r w:rsidRPr="00CC399E">
        <w:rPr>
          <w:sz w:val="20"/>
        </w:rPr>
        <w:t xml:space="preserve">. (2012). OpenGeoSys: an open-source initiative for numerical simulation of thermo-hydro-mechanical/chemical (THM/C) processes in porous media. </w:t>
      </w:r>
      <w:r w:rsidRPr="00CC399E">
        <w:rPr>
          <w:i/>
          <w:iCs/>
          <w:sz w:val="20"/>
        </w:rPr>
        <w:t>Environmental Earth Sciences</w:t>
      </w:r>
      <w:r w:rsidRPr="00CC399E">
        <w:rPr>
          <w:sz w:val="20"/>
        </w:rPr>
        <w:t xml:space="preserve"> </w:t>
      </w:r>
      <w:r w:rsidRPr="00CC399E">
        <w:rPr>
          <w:i/>
          <w:iCs/>
          <w:sz w:val="20"/>
        </w:rPr>
        <w:t>67</w:t>
      </w:r>
      <w:r w:rsidRPr="00CC399E">
        <w:rPr>
          <w:sz w:val="20"/>
        </w:rPr>
        <w:t>(2):589‑599. https://doi.org/10.1007/s12665-012-1546-x</w:t>
      </w:r>
    </w:p>
    <w:p w14:paraId="24B85A49" w14:textId="77777777" w:rsidR="00CC399E" w:rsidRPr="00CC399E" w:rsidRDefault="00CC399E" w:rsidP="00CC399E">
      <w:pPr>
        <w:pStyle w:val="Bibliographie"/>
        <w:rPr>
          <w:sz w:val="20"/>
        </w:rPr>
      </w:pPr>
      <w:r w:rsidRPr="00CC399E">
        <w:rPr>
          <w:smallCaps/>
          <w:sz w:val="20"/>
        </w:rPr>
        <w:t>Landes KK</w:t>
      </w:r>
      <w:r w:rsidRPr="00CC399E">
        <w:rPr>
          <w:sz w:val="20"/>
        </w:rPr>
        <w:t xml:space="preserve">. (1966). A scrutiny of the abstract, II. </w:t>
      </w:r>
      <w:r w:rsidRPr="00CC399E">
        <w:rPr>
          <w:i/>
          <w:iCs/>
          <w:sz w:val="20"/>
        </w:rPr>
        <w:t>Bulletin of the Americal Association of Petroleum Geologists</w:t>
      </w:r>
      <w:r w:rsidRPr="00CC399E">
        <w:rPr>
          <w:sz w:val="20"/>
        </w:rPr>
        <w:t xml:space="preserve"> </w:t>
      </w:r>
      <w:r w:rsidRPr="00CC399E">
        <w:rPr>
          <w:i/>
          <w:iCs/>
          <w:sz w:val="20"/>
        </w:rPr>
        <w:t>50</w:t>
      </w:r>
      <w:r w:rsidRPr="00CC399E">
        <w:rPr>
          <w:sz w:val="20"/>
        </w:rPr>
        <w:t>(9):1992.</w:t>
      </w:r>
    </w:p>
    <w:p w14:paraId="4F6C795C" w14:textId="77777777" w:rsidR="00CC399E" w:rsidRPr="00CC399E" w:rsidRDefault="00CC399E" w:rsidP="00CC399E">
      <w:pPr>
        <w:pStyle w:val="Bibliographie"/>
        <w:rPr>
          <w:sz w:val="20"/>
        </w:rPr>
      </w:pPr>
      <w:r w:rsidRPr="00CC399E">
        <w:rPr>
          <w:smallCaps/>
          <w:sz w:val="20"/>
        </w:rPr>
        <w:t>Lee DKP</w:t>
      </w:r>
      <w:r w:rsidRPr="00CC399E">
        <w:rPr>
          <w:sz w:val="20"/>
        </w:rPr>
        <w:t xml:space="preserve">. (2010). </w:t>
      </w:r>
      <w:r w:rsidRPr="00CC399E">
        <w:rPr>
          <w:i/>
          <w:iCs/>
          <w:sz w:val="20"/>
        </w:rPr>
        <w:t>A Guide to Writing Mathematics</w:t>
      </w:r>
      <w:r w:rsidRPr="00CC399E">
        <w:rPr>
          <w:sz w:val="20"/>
        </w:rPr>
        <w:t xml:space="preserve"> [Lecture notes]. http://</w:t>
      </w:r>
    </w:p>
    <w:p w14:paraId="0F78AC45" w14:textId="77777777" w:rsidR="00CC399E" w:rsidRPr="00CC399E" w:rsidRDefault="00CC399E" w:rsidP="00CC399E">
      <w:pPr>
        <w:pStyle w:val="Bibliographie"/>
        <w:rPr>
          <w:sz w:val="20"/>
        </w:rPr>
      </w:pPr>
      <w:r w:rsidRPr="00CC399E">
        <w:rPr>
          <w:smallCaps/>
          <w:sz w:val="20"/>
        </w:rPr>
        <w:t>Lowman P</w:t>
      </w:r>
      <w:r w:rsidRPr="00CC399E">
        <w:rPr>
          <w:sz w:val="20"/>
        </w:rPr>
        <w:t xml:space="preserve">. (1998). The abstract Rescrutinized. </w:t>
      </w:r>
      <w:r w:rsidRPr="00CC399E">
        <w:rPr>
          <w:i/>
          <w:iCs/>
          <w:sz w:val="20"/>
        </w:rPr>
        <w:t>Geology</w:t>
      </w:r>
      <w:r w:rsidRPr="00CC399E">
        <w:rPr>
          <w:sz w:val="20"/>
        </w:rPr>
        <w:t>:1063. https://doi.org/10.1130/0091-7613(1988)016&lt;1063:TAR&gt;2.3.CO;2</w:t>
      </w:r>
    </w:p>
    <w:p w14:paraId="2375917C" w14:textId="77777777" w:rsidR="00CC399E" w:rsidRPr="00CC399E" w:rsidRDefault="00CC399E" w:rsidP="00CC399E">
      <w:pPr>
        <w:pStyle w:val="Bibliographie"/>
        <w:rPr>
          <w:sz w:val="20"/>
        </w:rPr>
      </w:pPr>
      <w:r w:rsidRPr="00CC399E">
        <w:rPr>
          <w:smallCaps/>
          <w:sz w:val="20"/>
        </w:rPr>
        <w:t>Mallet J-L</w:t>
      </w:r>
      <w:r w:rsidRPr="00CC399E">
        <w:rPr>
          <w:sz w:val="20"/>
        </w:rPr>
        <w:t xml:space="preserve">. (2002). </w:t>
      </w:r>
      <w:r w:rsidRPr="00CC399E">
        <w:rPr>
          <w:i/>
          <w:iCs/>
          <w:sz w:val="20"/>
        </w:rPr>
        <w:t>Geomodeling</w:t>
      </w:r>
      <w:r w:rsidRPr="00CC399E">
        <w:rPr>
          <w:sz w:val="20"/>
        </w:rPr>
        <w:t>. Oxford University Press, USA.</w:t>
      </w:r>
    </w:p>
    <w:p w14:paraId="705B0149" w14:textId="77777777" w:rsidR="00CC399E" w:rsidRPr="00CC399E" w:rsidRDefault="00CC399E" w:rsidP="00CC399E">
      <w:pPr>
        <w:pStyle w:val="Bibliographie"/>
        <w:rPr>
          <w:sz w:val="20"/>
        </w:rPr>
      </w:pPr>
      <w:r w:rsidRPr="00CC399E">
        <w:rPr>
          <w:smallCaps/>
          <w:sz w:val="20"/>
        </w:rPr>
        <w:t>Mallet J-L</w:t>
      </w:r>
      <w:r w:rsidRPr="00CC399E">
        <w:rPr>
          <w:sz w:val="20"/>
        </w:rPr>
        <w:t xml:space="preserve">. (2014). </w:t>
      </w:r>
      <w:r w:rsidRPr="00CC399E">
        <w:rPr>
          <w:i/>
          <w:iCs/>
          <w:sz w:val="20"/>
        </w:rPr>
        <w:t>Elements of mathematical sedimentary geology: The GeoChron model</w:t>
      </w:r>
      <w:r w:rsidRPr="00CC399E">
        <w:rPr>
          <w:sz w:val="20"/>
        </w:rPr>
        <w:t>. EAGE publications.</w:t>
      </w:r>
    </w:p>
    <w:p w14:paraId="6E4D330B" w14:textId="77777777" w:rsidR="00CC399E" w:rsidRPr="00CC399E" w:rsidRDefault="00CC399E" w:rsidP="00CC399E">
      <w:pPr>
        <w:pStyle w:val="Bibliographie"/>
        <w:rPr>
          <w:sz w:val="20"/>
        </w:rPr>
      </w:pPr>
      <w:r w:rsidRPr="00CC399E">
        <w:rPr>
          <w:smallCaps/>
          <w:sz w:val="20"/>
        </w:rPr>
        <w:t>Perrin M &amp; Rainaud J-F</w:t>
      </w:r>
      <w:r w:rsidRPr="00CC399E">
        <w:rPr>
          <w:sz w:val="20"/>
        </w:rPr>
        <w:t xml:space="preserve">. (2013). </w:t>
      </w:r>
      <w:r w:rsidRPr="00CC399E">
        <w:rPr>
          <w:i/>
          <w:iCs/>
          <w:sz w:val="20"/>
        </w:rPr>
        <w:t>Shared Earth Modeling: Knowledge Driven Solutions for Building and Managing Subsurface 3D Geological Models</w:t>
      </w:r>
      <w:r w:rsidRPr="00CC399E">
        <w:rPr>
          <w:sz w:val="20"/>
        </w:rPr>
        <w:t>. Editions Technip.</w:t>
      </w:r>
    </w:p>
    <w:p w14:paraId="22AC31FF" w14:textId="77777777" w:rsidR="00CC399E" w:rsidRPr="00CC399E" w:rsidRDefault="00CC399E" w:rsidP="00CC399E">
      <w:pPr>
        <w:pStyle w:val="Bibliographie"/>
        <w:rPr>
          <w:sz w:val="20"/>
        </w:rPr>
      </w:pPr>
      <w:r w:rsidRPr="00CC399E">
        <w:rPr>
          <w:smallCaps/>
          <w:sz w:val="20"/>
        </w:rPr>
        <w:t>Ringrose P &amp; Bentley M</w:t>
      </w:r>
      <w:r w:rsidRPr="00CC399E">
        <w:rPr>
          <w:sz w:val="20"/>
        </w:rPr>
        <w:t xml:space="preserve">. (2015). </w:t>
      </w:r>
      <w:r w:rsidRPr="00CC399E">
        <w:rPr>
          <w:i/>
          <w:iCs/>
          <w:sz w:val="20"/>
        </w:rPr>
        <w:t>Reservoir Model Design</w:t>
      </w:r>
      <w:r w:rsidRPr="00CC399E">
        <w:rPr>
          <w:sz w:val="20"/>
        </w:rPr>
        <w:t>. Springer Netherlands. https://doi.org/10.1007/978-94-007-5497-3</w:t>
      </w:r>
    </w:p>
    <w:p w14:paraId="4306C6FF" w14:textId="77777777" w:rsidR="00CC399E" w:rsidRPr="00CC399E" w:rsidRDefault="00CC399E" w:rsidP="00CC399E">
      <w:pPr>
        <w:pStyle w:val="Bibliographie"/>
        <w:rPr>
          <w:sz w:val="20"/>
        </w:rPr>
      </w:pPr>
      <w:r w:rsidRPr="00CC399E">
        <w:rPr>
          <w:smallCaps/>
          <w:sz w:val="20"/>
        </w:rPr>
        <w:t>Wellmann F &amp; Caumon G</w:t>
      </w:r>
      <w:r w:rsidRPr="00CC399E">
        <w:rPr>
          <w:sz w:val="20"/>
        </w:rPr>
        <w:t xml:space="preserve">. (2018). 3-D Structural geological models: Concepts, methods, and uncertainties. </w:t>
      </w:r>
      <w:r w:rsidRPr="00CC399E">
        <w:rPr>
          <w:i/>
          <w:iCs/>
          <w:sz w:val="20"/>
        </w:rPr>
        <w:t>Advances in Geophysics</w:t>
      </w:r>
      <w:r w:rsidRPr="00CC399E">
        <w:rPr>
          <w:sz w:val="20"/>
        </w:rPr>
        <w:t xml:space="preserve"> </w:t>
      </w:r>
      <w:r w:rsidRPr="00CC399E">
        <w:rPr>
          <w:i/>
          <w:iCs/>
          <w:sz w:val="20"/>
        </w:rPr>
        <w:t>59</w:t>
      </w:r>
      <w:r w:rsidRPr="00CC399E">
        <w:rPr>
          <w:sz w:val="20"/>
        </w:rPr>
        <w:t>:1‑121. https://doi.org/10.1016/bs.agph.2018.09.001</w:t>
      </w:r>
    </w:p>
    <w:p w14:paraId="76DF8AEF" w14:textId="6D3D6C76" w:rsidR="00D716D3" w:rsidRPr="000D1EF5" w:rsidRDefault="0052039E" w:rsidP="0052039E">
      <w:pPr>
        <w:pStyle w:val="RINGBiblio"/>
      </w:pPr>
      <w:r>
        <w:fldChar w:fldCharType="end"/>
      </w:r>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1D84C" w14:textId="77777777" w:rsidR="00E50E24" w:rsidRDefault="00E50E24" w:rsidP="006F5B48">
      <w:r>
        <w:separator/>
      </w:r>
    </w:p>
  </w:endnote>
  <w:endnote w:type="continuationSeparator" w:id="0">
    <w:p w14:paraId="5A12F610" w14:textId="77777777" w:rsidR="00E50E24" w:rsidRDefault="00E50E24"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2DD45" w14:textId="77777777" w:rsidR="00E50E24" w:rsidRDefault="00E50E24" w:rsidP="006F5B48">
      <w:r>
        <w:separator/>
      </w:r>
    </w:p>
  </w:footnote>
  <w:footnote w:type="continuationSeparator" w:id="0">
    <w:p w14:paraId="63E5B99F" w14:textId="77777777" w:rsidR="00E50E24" w:rsidRDefault="00E50E24" w:rsidP="006F5B48">
      <w:r>
        <w:continuationSeparator/>
      </w:r>
    </w:p>
  </w:footnote>
  <w:footnote w:id="1">
    <w:p w14:paraId="55150253" w14:textId="7E49E084" w:rsidR="00AF23BF" w:rsidRPr="00AF23BF" w:rsidRDefault="00AF23BF">
      <w:pPr>
        <w:pStyle w:val="Notedebasdepage"/>
      </w:pPr>
      <w:r>
        <w:rPr>
          <w:rStyle w:val="Appelnotedebasdep"/>
        </w:rPr>
        <w:footnoteRef/>
      </w:r>
      <w:r>
        <w:t xml:space="preserve"> </w:t>
      </w:r>
      <w:r w:rsidRPr="00AF23BF">
        <w:t>It is best to announce sections as above using parentheses in the main text. Finishing the abstract with the outline is, in general, a bad practice because it is redundant with the table of content which is available in most digital papers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19070E"/>
    <w:rsid w:val="001A3998"/>
    <w:rsid w:val="002136CB"/>
    <w:rsid w:val="00247C59"/>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1868"/>
    <w:rsid w:val="0059302D"/>
    <w:rsid w:val="005C3E9B"/>
    <w:rsid w:val="005C5433"/>
    <w:rsid w:val="005D6DAF"/>
    <w:rsid w:val="0063330A"/>
    <w:rsid w:val="0064315E"/>
    <w:rsid w:val="00644D78"/>
    <w:rsid w:val="0066480C"/>
    <w:rsid w:val="006C310C"/>
    <w:rsid w:val="006D787F"/>
    <w:rsid w:val="006E2D5F"/>
    <w:rsid w:val="006F5B48"/>
    <w:rsid w:val="00700560"/>
    <w:rsid w:val="007066C3"/>
    <w:rsid w:val="00713751"/>
    <w:rsid w:val="0072782E"/>
    <w:rsid w:val="007309A6"/>
    <w:rsid w:val="00766EFA"/>
    <w:rsid w:val="007767E0"/>
    <w:rsid w:val="007E3914"/>
    <w:rsid w:val="00812B20"/>
    <w:rsid w:val="00833E24"/>
    <w:rsid w:val="008B5777"/>
    <w:rsid w:val="008B70C0"/>
    <w:rsid w:val="008C1D79"/>
    <w:rsid w:val="008C2FBF"/>
    <w:rsid w:val="008D7545"/>
    <w:rsid w:val="008F75EB"/>
    <w:rsid w:val="009015CF"/>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AF23BF"/>
    <w:rsid w:val="00B130CF"/>
    <w:rsid w:val="00B876F1"/>
    <w:rsid w:val="00B953C1"/>
    <w:rsid w:val="00B953E9"/>
    <w:rsid w:val="00BD0B8D"/>
    <w:rsid w:val="00BD7A6B"/>
    <w:rsid w:val="00BF58E2"/>
    <w:rsid w:val="00C25753"/>
    <w:rsid w:val="00C62BCC"/>
    <w:rsid w:val="00C66281"/>
    <w:rsid w:val="00C77592"/>
    <w:rsid w:val="00C93A8C"/>
    <w:rsid w:val="00CC399E"/>
    <w:rsid w:val="00CC4978"/>
    <w:rsid w:val="00CF2D9F"/>
    <w:rsid w:val="00D23CED"/>
    <w:rsid w:val="00D56B80"/>
    <w:rsid w:val="00D60343"/>
    <w:rsid w:val="00D60565"/>
    <w:rsid w:val="00D710F4"/>
    <w:rsid w:val="00D716D3"/>
    <w:rsid w:val="00D8365B"/>
    <w:rsid w:val="00D85022"/>
    <w:rsid w:val="00D86A46"/>
    <w:rsid w:val="00D923E4"/>
    <w:rsid w:val="00D92FE8"/>
    <w:rsid w:val="00DA10D8"/>
    <w:rsid w:val="00DA3271"/>
    <w:rsid w:val="00DF0BAD"/>
    <w:rsid w:val="00E14E07"/>
    <w:rsid w:val="00E50E24"/>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Mentionnonrsolue1">
    <w:name w:val="Mention non résolue1"/>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 w:type="paragraph" w:styleId="Notedebasdepage">
    <w:name w:val="footnote text"/>
    <w:basedOn w:val="Normal"/>
    <w:link w:val="NotedebasdepageCar"/>
    <w:uiPriority w:val="99"/>
    <w:semiHidden/>
    <w:unhideWhenUsed/>
    <w:rsid w:val="00AF23BF"/>
    <w:pPr>
      <w:spacing w:line="240" w:lineRule="auto"/>
    </w:pPr>
    <w:rPr>
      <w:sz w:val="20"/>
    </w:rPr>
  </w:style>
  <w:style w:type="character" w:customStyle="1" w:styleId="NotedebasdepageCar">
    <w:name w:val="Note de bas de page Car"/>
    <w:basedOn w:val="Policepardfaut"/>
    <w:link w:val="Notedebasdepage"/>
    <w:uiPriority w:val="99"/>
    <w:semiHidden/>
    <w:rsid w:val="00AF23BF"/>
    <w:rPr>
      <w:lang w:val="en-US" w:eastAsia="zh-CN"/>
    </w:rPr>
  </w:style>
  <w:style w:type="character" w:styleId="Appelnotedebasdep">
    <w:name w:val="footnote reference"/>
    <w:basedOn w:val="Policepardfaut"/>
    <w:uiPriority w:val="99"/>
    <w:semiHidden/>
    <w:unhideWhenUsed/>
    <w:rsid w:val="00AF2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435371E8-1E44-4B0F-8731-D2B78FD77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5</Pages>
  <Words>4542</Words>
  <Characters>24986</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29470</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Marie Gallaire</cp:lastModifiedBy>
  <cp:revision>40</cp:revision>
  <cp:lastPrinted>2000-05-18T08:02:00Z</cp:lastPrinted>
  <dcterms:created xsi:type="dcterms:W3CDTF">2020-04-08T08:45:00Z</dcterms:created>
  <dcterms:modified xsi:type="dcterms:W3CDTF">2025-01-17T15:45:00Z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id="ABKw6STy"/&gt;&lt;style id="http://csl.mendeley.com/styles/476203631/RING-2021" locale="fr-FR"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