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TDA"/>
        <w:rPr/>
      </w:pPr>
      <w:r>
        <w:rPr/>
        <w:t>РАСПРАЦОЎКА АБАРОНЕНАЙ СІСТЭМЫ АДДАЛЕНАЙ ВІРТУАЛІЗАЦЫІ</w:t>
      </w:r>
    </w:p>
    <w:p>
      <w:pPr>
        <w:pStyle w:val="Style5"/>
        <w:rPr/>
      </w:pPr>
      <w:r>
        <w:rPr/>
        <w:t>І. І. Іваноў</w:t>
      </w:r>
    </w:p>
    <w:p>
      <w:pPr>
        <w:pStyle w:val="Style6"/>
        <w:rPr/>
      </w:pPr>
      <w:r>
        <w:rPr>
          <w:i/>
          <w:sz w:val="20"/>
        </w:rPr>
        <w:t>Беларускі дзяржаўны ўніверсітэт, пр. Незалежнасці, 4,</w:t>
        <w:br/>
        <w:t>220030, г. Мінск, Беларусь, ivanov@bsu.by</w:t>
      </w:r>
    </w:p>
    <w:p>
      <w:pPr>
        <w:pStyle w:val="Style6"/>
        <w:rPr/>
      </w:pPr>
      <w:r>
        <w:rPr>
          <w:i/>
          <w:sz w:val="20"/>
        </w:rPr>
        <w:t>Навуковы кіраўнік — П. П. Пятроў, старшы выкладчык</w:t>
      </w:r>
    </w:p>
    <w:p>
      <w:pPr>
        <w:pStyle w:val="Style7"/>
        <w:rPr/>
      </w:pPr>
      <w:r>
        <w:rPr/>
        <w:t>Прадстаўлена архітэктура і рэалізацыя сістэмы бяспечнага аддаленага доступу да кантэйнерных асяроддзяў з апаратным захоўваннем крыптаграфічных ключоў на мікракантролеры ESP32-C3. Сістэма забяспечвае генерацыю, шыфраванне і выкарыстанне ключоў Ed25519 непасрэдна на мікракантролеры, выключаючы захоўванне прыватных ключоў на камп'ютары карыстальніка. Рэалізаваны пратакол SSH-агента праз серыйны мост на Python, Go-кліент для аўтэнтыфікацыі і C-менеджар для кіравання LXD-кантэйнерамі з LUKS-шыфраваннем тамоў. Вынікі тэсціравання пацвярджаюць карэктнасць крыптаграфічных аперацый і прымальную прадукцыйнасць подпісу (менш за 250 мс).</w:t>
      </w:r>
    </w:p>
    <w:p>
      <w:pPr>
        <w:pStyle w:val="Style8"/>
        <w:widowControl/>
        <w:bidi w:val="0"/>
        <w:spacing w:lineRule="auto" w:line="240" w:before="0" w:after="360"/>
        <w:ind w:firstLine="567"/>
        <w:jc w:val="both"/>
        <w:rPr/>
      </w:pPr>
      <w:r>
        <w:rPr>
          <w:i/>
          <w:sz w:val="20"/>
        </w:rPr>
        <w:t xml:space="preserve">Ключавыя словы: </w:t>
      </w:r>
      <w:r>
        <w:rPr>
          <w:sz w:val="20"/>
        </w:rPr>
        <w:t>апаратнае захоўванне ключоў; ESP32; Ed25519; SSH-агент; кантэйнерная віртуалізацыя; LXD; LUKS; крыптаграфія.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0"/>
      <w:ind w:firstLine="567"/>
      <w:jc w:val="both"/>
    </w:pPr>
    <w:rPr>
      <w:rFonts w:ascii="Times New Roman" w:hAnsi="Times New Roman" w:eastAsia="ＭＳ 明朝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TDA" w:customStyle="1">
    <w:name w:val="Название статьи CTDA"/>
    <w:qFormat/>
    <w:pPr>
      <w:widowControl/>
      <w:bidi w:val="0"/>
      <w:spacing w:lineRule="auto" w:line="240" w:before="0" w:after="240"/>
      <w:jc w:val="center"/>
    </w:pPr>
    <w:rPr>
      <w:rFonts w:ascii="Times New Roman" w:hAnsi="Times New Roman" w:eastAsia="ＭＳ 明朝" w:cs=""/>
      <w:b/>
      <w:caps/>
      <w:color w:val="000000"/>
      <w:kern w:val="0"/>
      <w:sz w:val="24"/>
      <w:szCs w:val="22"/>
      <w:lang w:val="en-US" w:eastAsia="en-US" w:bidi="ar-SA"/>
    </w:rPr>
  </w:style>
  <w:style w:type="paragraph" w:styleId="Style5" w:customStyle="1">
    <w:name w:val="Автор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eastAsia="ＭＳ 明朝" w:cs=""/>
      <w:b/>
      <w:color w:val="000000"/>
      <w:kern w:val="0"/>
      <w:sz w:val="22"/>
      <w:szCs w:val="22"/>
      <w:lang w:val="en-US" w:eastAsia="en-US" w:bidi="ar-SA"/>
    </w:rPr>
  </w:style>
  <w:style w:type="paragraph" w:styleId="Style6" w:customStyle="1">
    <w:name w:val="Аффилиация"/>
    <w:qFormat/>
    <w:pPr>
      <w:widowControl/>
      <w:bidi w:val="0"/>
      <w:spacing w:lineRule="auto" w:line="240" w:before="0" w:after="240"/>
      <w:jc w:val="center"/>
    </w:pPr>
    <w:rPr>
      <w:rFonts w:ascii="Times New Roman" w:hAnsi="Times New Roman" w:eastAsia="ＭＳ 明朝" w:cs=""/>
      <w:i/>
      <w:color w:val="000000"/>
      <w:kern w:val="0"/>
      <w:sz w:val="20"/>
      <w:szCs w:val="22"/>
      <w:lang w:val="en-US" w:eastAsia="en-US" w:bidi="ar-SA"/>
    </w:rPr>
  </w:style>
  <w:style w:type="paragraph" w:styleId="Style7" w:customStyle="1">
    <w:name w:val="Аннотация"/>
    <w:qFormat/>
    <w:pPr>
      <w:widowControl/>
      <w:bidi w:val="0"/>
      <w:spacing w:lineRule="auto" w:line="240" w:before="0" w:after="120"/>
      <w:ind w:firstLine="567"/>
      <w:jc w:val="both"/>
    </w:pPr>
    <w:rPr>
      <w:rFonts w:ascii="Times New Roman" w:hAnsi="Times New Roman" w:eastAsia="ＭＳ 明朝" w:cs=""/>
      <w:color w:val="000000"/>
      <w:kern w:val="0"/>
      <w:sz w:val="20"/>
      <w:szCs w:val="22"/>
      <w:lang w:val="en-US" w:eastAsia="en-US" w:bidi="ar-SA"/>
    </w:rPr>
  </w:style>
  <w:style w:type="paragraph" w:styleId="Style8" w:customStyle="1">
    <w:name w:val="Ключевые слова"/>
    <w:qFormat/>
    <w:pPr>
      <w:widowControl/>
      <w:bidi w:val="0"/>
      <w:spacing w:lineRule="auto" w:line="240" w:before="0" w:after="360"/>
      <w:ind w:firstLine="567"/>
      <w:jc w:val="both"/>
    </w:pPr>
    <w:rPr>
      <w:rFonts w:ascii="Times New Roman" w:hAnsi="Times New Roman" w:eastAsia="ＭＳ 明朝" w:cs=""/>
      <w:color w:val="000000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1</Pages>
  <Words>109</Words>
  <Characters>864</Characters>
  <CharactersWithSpaces>968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