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TDA"/>
        <w:rPr>
          <w:sz w:val="28"/>
          <w:szCs w:val="28"/>
        </w:rPr>
      </w:pPr>
      <w:r>
        <w:rPr>
          <w:sz w:val="28"/>
          <w:szCs w:val="28"/>
          <w:lang w:val="ru-RU"/>
        </w:rPr>
        <w:t>РАЗРАБОТКА ЗАЩИЩЁННОЙ СИСТЕМЫ УДАЛЁННОЙ ВИРТУАЛИЗАЦИИ</w:t>
      </w:r>
    </w:p>
    <w:p>
      <w:pPr>
        <w:pStyle w:val="Style5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Д. В. Дубина, </w:t>
      </w:r>
      <w:r>
        <w:rPr>
          <w:i/>
          <w:sz w:val="28"/>
          <w:szCs w:val="28"/>
          <w:lang w:val="ru-RU"/>
        </w:rPr>
        <w:t>С. Д. Рундыгин</w:t>
      </w:r>
    </w:p>
    <w:p>
      <w:pPr>
        <w:pStyle w:val="Style6"/>
        <w:rPr>
          <w:sz w:val="28"/>
          <w:szCs w:val="28"/>
        </w:rPr>
      </w:pPr>
      <w:r>
        <w:rPr>
          <w:i/>
          <w:sz w:val="28"/>
          <w:szCs w:val="28"/>
          <w:lang w:val="ru-RU"/>
        </w:rPr>
        <w:t>Белорусский государственный университет, пр. Независимости, 4,</w:t>
        <w:br/>
        <w:t>220030, г. Минск, Беларусь, rct.dubina@bsu.by</w:t>
      </w:r>
    </w:p>
    <w:p>
      <w:pPr>
        <w:pStyle w:val="Style7"/>
        <w:rPr>
          <w:sz w:val="24"/>
          <w:szCs w:val="24"/>
        </w:rPr>
      </w:pPr>
      <w:r>
        <w:rPr>
          <w:sz w:val="24"/>
          <w:szCs w:val="24"/>
          <w:lang w:val="ru-RU"/>
        </w:rPr>
        <w:t>Представлена архитектура и реализация системы безопасного удалённого доступа к контейнерным средам с аппаратным хранением криптографических ключей на микроконтроллере ESP32-C3. Система обеспечивает генерацию, шифрование и использование ключей Ed25519 непосредственно на микроконтроллере, исключая хранение приватных ключей на компьютере пользователя. Реализован протокол SSH-агента через серийный мост на Python, Go-клиент для аутентификации и C-менеджер для управления LXD-контейнерами с LUKS-шифрованием томов. Результаты тестирования подтверждают корректность криптографических операций и приемлемую производительность подписи (менее 250 мс).</w:t>
      </w:r>
    </w:p>
    <w:p>
      <w:pPr>
        <w:pStyle w:val="Style8"/>
        <w:rPr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  <w:lang w:val="ru-RU"/>
        </w:rPr>
        <w:t>Ключевые слова</w:t>
      </w:r>
      <w:r>
        <w:rPr>
          <w:i/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>аппаратное хранение ключей; ESP32; Ed25519; SSH-агент; контейнерная виртуализация; LXD; LUKS; криптография.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Обеспечение безопасного удалённого доступа к серверным средам является одной из ключевых задач современной информационной безопасности. Традиционные подходы предполагают хранение криптографических ключей на файловой системе рабочей станции, что создаёт риск их компрометации [1]. Существующие аппаратные решения (YubiKey, Nitrokey) устраняют данную проблему, однако их стоимость и закрытость исходного кода ограничивают применимость в образовательных и исследовательских целях.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ru-RU"/>
        </w:rPr>
        <w:t>Параллельно с этим задача изоляции пользовательских сред решается посредством контейнерной виртуализации. Платформа LXD/LXC предоставляет полноценные системные контейнеры с минимальными накладными расходами, однако стандартные механизмы аутентификации не обеспечивают привязку к аппаратному носителю ключей [2].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ru-RU"/>
        </w:rPr>
        <w:t>Целью настоящей работы является разработка системы, объединяющей аппаратное хранение криптографических ключей на микроконтроллере ESP32-C3 с управлением контейнерными средами через протокол SSH. Система реализует полный цикл от генерации ключевой пары до аутентификации и подключения к контейнеру, при этом приватный ключ никогда не покидает микроконтроллер.</w:t>
      </w:r>
    </w:p>
    <w:p>
      <w:pPr>
        <w:pStyle w:val="Style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Архитектура системы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состоит из четырёх взаимодействующих компонентов: прошивки микроконтроллера ESP32-C3, Python-моста (SSH Agent Bridge), Go-клиента и C-менеджера. Схема архитектуры предоставлена на рисунке 1. Каждый компонент выполняет строго определённую функцию в цепочке аутентификации и авторизации.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4773930" cy="545846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545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>Рис 1. Архитектура системы</w:t>
      </w:r>
    </w:p>
    <w:p>
      <w:pPr>
        <w:pStyle w:val="Normal"/>
        <w:jc w:val="center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Микроконтроллер ESP32-C3 (RISC-V, 160 МГц) выступает аппаратным хранилищем ключей: генерация пары Ed25519 выполняется с использованием TRNG, приватный ключ сохраняется в NVS с возможностью парольного шифрования [3]. Python-мост связывает ESP32 через USB-CDC (115200 бод) с Unix-сокетом протокола SSH-агента, транслируя запросы подписи в серийный протокол и поддерживая команды блокировки/разблокировки через расширения агента (тип 27). Go-клиент выполняет аутентификацию «вызов-ответ» с C-менеджером, подписывая challenge через агент и устанавливая SSH-сессию при успешной верификации. C-менеджер хранит учётные записи в SQLCipher, создаёт LUKS-тома для каждого контейнера и управляет LXD-контейнерами (Alpine 3.20) через REST API.</w:t>
      </w:r>
    </w:p>
    <w:p>
      <w:pPr>
        <w:pStyle w:val="Style9"/>
        <w:rPr>
          <w:sz w:val="28"/>
          <w:szCs w:val="28"/>
        </w:rPr>
      </w:pPr>
      <w:r>
        <w:rPr>
          <w:sz w:val="28"/>
          <w:szCs w:val="28"/>
          <w:lang w:val="ru-RU"/>
        </w:rPr>
        <w:t>Криптографическая подсистема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ru-RU"/>
        </w:rPr>
        <w:t>Криптографическая подсистема основана на алгоритме цифровой подписи Ed25519, использующем эллиптическую кривую Curve25519 в скрученной форме Эдвардса [4]. Реализация на ESP32 выполнена на основе библиотеки TweetNaCl, адаптированной для встраиваемой платформы. Алгоритм обеспечивает подпись и верификацию с 128-битным уровнем безопасности при длине ключа 32 байта и подписи 64 байта.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ru-RU"/>
        </w:rPr>
        <w:t>Для защиты приватного ключа при хранении в NVS применяется многоуровневая схема шифрования. Из пароля пользователя при помощи функции деривации PBKDF2-SHA256 с 100 000 итерациями и случайной 16-байтовой солью выводится 256-битный ключ шифрования. Зерно ключа (32 байта) шифруется алгоритмом AES-256-CBC с дополнением PKCS7, что даёт 48 байт шифротекста. В NVS сохраняются соль, вектор инициализации и зашифрованное зерно; открытый ключ остаётся незашифрованным для возможности идентификации без ввода пароля.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ru-RU"/>
        </w:rPr>
        <w:t>Серийный протокол взаимодействия с ESP32 определяет шесть типов сообщений: генерация ключевой пары (0x01), запрос подписи (0x02), разблокировка паролем (0x03), блокировка (0x04), генерация с паролем (0x05) и получение открытого ключа (0x06). Запрос передаётся в формате [тип:1Б][длина:3Б][данные], ответ — [длина:4Б][тип+данные]. Для фильтрации отладочных сообщений прошивки мост сканирует входящий поток в поисках байта 0x00, маркирующего начало бинарного пакета.</w:t>
      </w:r>
    </w:p>
    <w:p>
      <w:pPr>
        <w:pStyle w:val="Style9"/>
        <w:rPr>
          <w:sz w:val="28"/>
          <w:szCs w:val="28"/>
        </w:rPr>
      </w:pPr>
      <w:r>
        <w:rPr>
          <w:sz w:val="28"/>
          <w:szCs w:val="28"/>
          <w:lang w:val="ru-RU"/>
        </w:rPr>
        <w:t>Особенности реализации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Наибольший интерес с точки зрения реализации представляют прошивка ESP32 и C-менеджер, поскольку именно эти компоненты выполняют ключевые криптографические операции и обеспечивают управление инфраструктурой виртуализации, тогда как промежуточные модули (Python-мост и Go-клиент) выполняют преимущественно транспортные функции.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Прошивка ESP32 написана на C++ с использованием фреймворка Arduino и системы сборки PlatformIO. Криптографические примитивы AES-256-CBC и PBKDF2-SHA256 реализованы через библиотеку mbedTLS, входящую в состав ESP-IDF. Для корректной работы PBKDF2 потребовалось включение модуля MBEDTLS_PKCS5_C в конфигурации сборки. Генерация случайных байт для соли и вектора инициализации выполняется функцией esp_random(), использующей аппаратный TRNG микроконтроллера [3].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ru-RU"/>
        </w:rPr>
        <w:t>C-менеджер скомпилирован с библиотеками OpenSSL (верификация подписей), SQLCipher (шифрованная БД), libcurl (REST API к LXD) и libcryptsetup (управление LUKS-томами). База данных защищена 256-битным ключом через директиву PRAGMA key. Для каждого пользователя менеджер хранит открытый ключ и список разрешённых контейнеров. При первом подключении создаётся LUKS-том в виде loopback-образа, который форматируется в файловую систему ext4 и монтируется внутрь контейнера через механизм proxy-устройств LXD [2].</w:t>
      </w:r>
    </w:p>
    <w:p>
      <w:pPr>
        <w:pStyle w:val="Style9"/>
        <w:rPr>
          <w:sz w:val="28"/>
          <w:szCs w:val="28"/>
        </w:rPr>
      </w:pPr>
      <w:r>
        <w:rPr>
          <w:sz w:val="28"/>
          <w:szCs w:val="28"/>
          <w:lang w:val="ru-RU"/>
        </w:rPr>
        <w:t>Результаты тестирования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Функциональное тестирование проводилось на стенде с микроконтроллером ESP32-C3-DevKitM-1 и сервером Ubuntu 24.04 LTS. Корректность реализации Ed25519 подтверждена перекрёстной верификацией средствами OpenSSL и ssh-keygen. Генерация ключевой пары занимает менее 100 мс, подпись — 200–250 мс, полный цикл аутентификации — около 500 мс. Потребление оперативной памяти прошивкой не превышает 45 КБ из доступных 400 КБ SRAM.</w:t>
      </w:r>
    </w:p>
    <w:p>
      <w:pPr>
        <w:pStyle w:val="Normal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Приватный ключ не покидает микроконтроллер и защищён паролем; коммуникация осуществляется через локальные интерфейсы; данные контейнеров зашифрованы на уровне тома (LUKS). К ограничениям следует отнести отсутствие защищённого элемента (Secure Element) на ESP32-C3, что теоретически допускает извлечение ключа из NVS при физическом доступе.</w:t>
      </w:r>
    </w:p>
    <w:p>
      <w:pPr>
        <w:pStyle w:val="Normal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В результате работы реализована система безопасного удалённого доступа к контейнерным средам, объединяющая аппаратное хранение ключей Ed25519 на ESP32-C3 с управлением LXD-контейнерами. Перспективными направлениями являются интеграция защищённого элемента (ATECC608A), беспроводное подключение (BLE/Wi-Fi) и совместимость с FIDO2/WebAuthn.</w:t>
      </w:r>
    </w:p>
    <w:p>
      <w:pPr>
        <w:pStyle w:val="Style10"/>
        <w:rPr>
          <w:sz w:val="28"/>
          <w:szCs w:val="28"/>
        </w:rPr>
      </w:pPr>
      <w:r>
        <w:rPr>
          <w:sz w:val="28"/>
          <w:szCs w:val="28"/>
          <w:lang w:val="ru-RU"/>
        </w:rPr>
        <w:t>Библиографические ссылки</w:t>
      </w:r>
    </w:p>
    <w:p>
      <w:pPr>
        <w:pStyle w:val="Style11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1. </w:t>
      </w:r>
      <w:r>
        <w:rPr>
          <w:i/>
          <w:sz w:val="24"/>
          <w:szCs w:val="24"/>
          <w:lang w:val="ru-RU"/>
        </w:rPr>
        <w:t>Ylonen, T.</w:t>
      </w:r>
      <w:r>
        <w:rPr>
          <w:sz w:val="24"/>
          <w:szCs w:val="24"/>
          <w:lang w:val="ru-RU"/>
        </w:rPr>
        <w:t xml:space="preserve"> The Secure Shell (SSH) Authentication Protocol / T. Ylonen, C. Lonvick // RFC 4252. 2006.</w:t>
      </w:r>
    </w:p>
    <w:p>
      <w:pPr>
        <w:pStyle w:val="Style11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2. </w:t>
      </w:r>
      <w:r>
        <w:rPr>
          <w:i/>
          <w:sz w:val="24"/>
          <w:szCs w:val="24"/>
          <w:lang w:val="ru-RU"/>
        </w:rPr>
        <w:t>Canonical Ltd.</w:t>
      </w:r>
      <w:r>
        <w:rPr>
          <w:sz w:val="24"/>
          <w:szCs w:val="24"/>
          <w:lang w:val="ru-RU"/>
        </w:rPr>
        <w:t xml:space="preserve"> LXD Documentation. URL: https://documentation.ubuntu.com/lxd/ (дата обращения: 15.03.2026).</w:t>
      </w:r>
    </w:p>
    <w:p>
      <w:pPr>
        <w:pStyle w:val="Style11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3. </w:t>
      </w:r>
      <w:r>
        <w:rPr>
          <w:i/>
          <w:sz w:val="24"/>
          <w:szCs w:val="24"/>
          <w:lang w:val="ru-RU"/>
        </w:rPr>
        <w:t>Espressif Systems.</w:t>
      </w:r>
      <w:r>
        <w:rPr>
          <w:sz w:val="24"/>
          <w:szCs w:val="24"/>
          <w:lang w:val="ru-RU"/>
        </w:rPr>
        <w:t xml:space="preserve"> ESP32-C3 Series Datasheet Version 1.2. URL: https://www.espressif.com/sites/default/files/documentation/esp32-c3_datasheet_en.pdf (дата обращения: 15.03.2026).</w:t>
      </w:r>
    </w:p>
    <w:p>
      <w:pPr>
        <w:pStyle w:val="Style11"/>
        <w:spacing w:before="0" w:after="40"/>
        <w:rPr>
          <w:lang w:val="ru-RU"/>
        </w:rPr>
      </w:pPr>
      <w:r>
        <w:rPr>
          <w:sz w:val="24"/>
          <w:szCs w:val="24"/>
          <w:lang w:val="ru-RU"/>
        </w:rPr>
        <w:t xml:space="preserve">4. </w:t>
      </w:r>
      <w:r>
        <w:rPr>
          <w:i/>
          <w:sz w:val="24"/>
          <w:szCs w:val="24"/>
          <w:lang w:val="ru-RU"/>
        </w:rPr>
        <w:t>Bernstein, D. J.</w:t>
      </w:r>
      <w:r>
        <w:rPr>
          <w:sz w:val="24"/>
          <w:szCs w:val="24"/>
          <w:lang w:val="ru-RU"/>
        </w:rPr>
        <w:t xml:space="preserve"> High-speed high-security signatures / D. J. Bernstein, N. Duif, T. Lange, P. Schwabe, B.-Y. Yang // Journal of Cryptographic Engineering. 2012. Vol. 2, № 2. P. 77–89.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TDA" w:customStyle="1">
    <w:name w:val="Название статьи CTDA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b/>
      <w:caps/>
      <w:color w:val="000000"/>
      <w:kern w:val="0"/>
      <w:sz w:val="24"/>
      <w:szCs w:val="22"/>
      <w:lang w:val="en-US" w:eastAsia="en-US" w:bidi="ar-SA"/>
    </w:rPr>
  </w:style>
  <w:style w:type="paragraph" w:styleId="Style5" w:customStyle="1">
    <w:name w:val="Автор"/>
    <w:qFormat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ＭＳ 明朝" w:cs=""/>
      <w:b/>
      <w:color w:val="000000"/>
      <w:kern w:val="0"/>
      <w:sz w:val="22"/>
      <w:szCs w:val="22"/>
      <w:lang w:val="en-US" w:eastAsia="en-US" w:bidi="ar-SA"/>
    </w:rPr>
  </w:style>
  <w:style w:type="paragraph" w:styleId="Style6" w:customStyle="1">
    <w:name w:val="Аффилиация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i/>
      <w:color w:val="000000"/>
      <w:kern w:val="0"/>
      <w:sz w:val="20"/>
      <w:szCs w:val="22"/>
      <w:lang w:val="en-US" w:eastAsia="en-US" w:bidi="ar-SA"/>
    </w:rPr>
  </w:style>
  <w:style w:type="paragraph" w:styleId="Style7" w:customStyle="1">
    <w:name w:val="Аннотация"/>
    <w:qFormat/>
    <w:pPr>
      <w:widowControl/>
      <w:suppressAutoHyphens w:val="true"/>
      <w:bidi w:val="0"/>
      <w:spacing w:lineRule="auto" w:line="240" w:before="0" w:after="120"/>
      <w:ind w:firstLine="567"/>
      <w:jc w:val="both"/>
    </w:pPr>
    <w:rPr>
      <w:rFonts w:ascii="Times New Roman" w:hAnsi="Times New Roman" w:eastAsia="ＭＳ 明朝" w:cs=""/>
      <w:color w:val="000000"/>
      <w:kern w:val="0"/>
      <w:sz w:val="20"/>
      <w:szCs w:val="22"/>
      <w:lang w:val="en-US" w:eastAsia="en-US" w:bidi="ar-SA"/>
    </w:rPr>
  </w:style>
  <w:style w:type="paragraph" w:styleId="Style8" w:customStyle="1">
    <w:name w:val="Ключевые слова"/>
    <w:qFormat/>
    <w:pPr>
      <w:widowControl/>
      <w:suppressAutoHyphens w:val="true"/>
      <w:bidi w:val="0"/>
      <w:spacing w:lineRule="auto" w:line="240" w:before="0" w:after="360"/>
      <w:ind w:firstLine="567"/>
      <w:jc w:val="both"/>
    </w:pPr>
    <w:rPr>
      <w:rFonts w:ascii="Times New Roman" w:hAnsi="Times New Roman" w:eastAsia="ＭＳ 明朝" w:cs=""/>
      <w:color w:val="000000"/>
      <w:kern w:val="0"/>
      <w:sz w:val="20"/>
      <w:szCs w:val="22"/>
      <w:lang w:val="en-US" w:eastAsia="en-US" w:bidi="ar-SA"/>
    </w:rPr>
  </w:style>
  <w:style w:type="paragraph" w:styleId="Style9" w:customStyle="1">
    <w:name w:val="Подзаголовок"/>
    <w:qFormat/>
    <w:pPr>
      <w:widowControl/>
      <w:suppressAutoHyphens w:val="true"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2"/>
      <w:szCs w:val="22"/>
      <w:lang w:val="en-US" w:eastAsia="en-US" w:bidi="ar-SA"/>
    </w:rPr>
  </w:style>
  <w:style w:type="paragraph" w:styleId="2" w:customStyle="1">
    <w:name w:val="Подзаголовок 2"/>
    <w:qFormat/>
    <w:pPr>
      <w:widowControl/>
      <w:suppressAutoHyphens w:val="true"/>
      <w:bidi w:val="0"/>
      <w:spacing w:lineRule="auto" w:line="240" w:before="120" w:after="60"/>
      <w:ind w:firstLine="567"/>
      <w:jc w:val="start"/>
    </w:pPr>
    <w:rPr>
      <w:rFonts w:ascii="Times New Roman" w:hAnsi="Times New Roman" w:eastAsia="ＭＳ 明朝" w:cs=""/>
      <w:b/>
      <w:i/>
      <w:color w:val="000000"/>
      <w:kern w:val="0"/>
      <w:sz w:val="22"/>
      <w:szCs w:val="22"/>
      <w:lang w:val="en-US" w:eastAsia="en-US" w:bidi="ar-SA"/>
    </w:rPr>
  </w:style>
  <w:style w:type="paragraph" w:styleId="Style10" w:customStyle="1">
    <w:name w:val="БИБЛИОГРАФИЧЕСКИЕ ССЫЛКИ"/>
    <w:qFormat/>
    <w:pPr>
      <w:widowControl/>
      <w:suppressAutoHyphens w:val="true"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2"/>
      <w:szCs w:val="22"/>
      <w:lang w:val="en-US" w:eastAsia="en-US" w:bidi="ar-SA"/>
    </w:rPr>
  </w:style>
  <w:style w:type="paragraph" w:styleId="Style11" w:customStyle="1">
    <w:name w:val="Список литературы"/>
    <w:qFormat/>
    <w:pPr>
      <w:widowControl/>
      <w:suppressAutoHyphens w:val="true"/>
      <w:bidi w:val="0"/>
      <w:spacing w:lineRule="auto" w:line="240" w:before="0" w:after="40"/>
      <w:ind w:hanging="0" w:start="283"/>
      <w:jc w:val="both"/>
    </w:pPr>
    <w:rPr>
      <w:rFonts w:ascii="Times New Roman" w:hAnsi="Times New Roman" w:eastAsia="ＭＳ 明朝" w:cs=""/>
      <w:color w:val="000000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LibreOffice/26.2.1.2$Linux_X86_64 LibreOffice_project/620$Build-2</Application>
  <AppVersion>15.0000</AppVersion>
  <Pages>4</Pages>
  <Words>887</Words>
  <Characters>6731</Characters>
  <CharactersWithSpaces>7592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2026-03-23T11:50:17Z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