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TDA"/>
        <w:rPr>
          <w:lang w:val="ru-RU"/>
        </w:rPr>
      </w:pPr>
      <w:r>
        <w:rPr>
          <w:lang w:val="ru-RU"/>
        </w:rPr>
        <w:t>РАЗРАБОТКА ЗАЩИЩЁННОЙ СИСТЕМЫ УДАЛЁННОЙ ВИРТУАЛИЗАЦИИ С ИНТЕЛЛЕКТУАЛЬНЫМ АНАЛИЗОМ ПОВЕДЕНИЯ ПОЛЬЗОВАТЕЛЕЙ</w:t>
      </w:r>
    </w:p>
    <w:p>
      <w:pPr>
        <w:pStyle w:val="Style5"/>
        <w:rPr>
          <w:lang w:val="ru-RU"/>
        </w:rPr>
      </w:pPr>
      <w:r>
        <w:rPr>
          <w:lang w:val="ru-RU"/>
        </w:rPr>
        <w:t>И. И. Иванов</w:t>
      </w:r>
    </w:p>
    <w:p>
      <w:pPr>
        <w:pStyle w:val="Style6"/>
        <w:rPr>
          <w:lang w:val="ru-RU"/>
        </w:rPr>
      </w:pPr>
      <w:r>
        <w:rPr>
          <w:i/>
          <w:sz w:val="24"/>
          <w:lang w:val="ru-RU"/>
        </w:rPr>
        <w:t>Белорусский государственный университет, пр. Независимости, 4,</w:t>
        <w:br/>
        <w:t>220030, г. Минск, Беларусь, ivanov@bsu.by</w:t>
      </w:r>
    </w:p>
    <w:p>
      <w:pPr>
        <w:pStyle w:val="Style6"/>
        <w:rPr>
          <w:lang w:val="ru-RU"/>
        </w:rPr>
      </w:pPr>
      <w:r>
        <w:rPr>
          <w:i/>
          <w:sz w:val="24"/>
          <w:lang w:val="ru-RU"/>
        </w:rPr>
        <w:t>Научный руководитель — П. П. Петров, старший преподаватель</w:t>
      </w:r>
    </w:p>
    <w:p>
      <w:pPr>
        <w:pStyle w:val="Style7"/>
        <w:rPr>
          <w:lang w:val="ru-RU"/>
        </w:rPr>
      </w:pPr>
      <w:r>
        <w:rPr>
          <w:lang w:val="ru-RU"/>
        </w:rPr>
        <w:t>Представлена система безопасного удалённого доступа к контейнерным средам с аппаратным хранением ключей Ed25519 на микроконтроллере ESP32-C3 и двухуровневым анализом поведения пользователей. Первый уровень выполняет статистическое обнаружение аномалий в сессионных паттернах (z-score), второй — анализ истории команд локальной языковой моделью Qwen2.5 с пятиуровневой защитой от инъекций в промпт.</w:t>
      </w:r>
    </w:p>
    <w:p>
      <w:pPr>
        <w:pStyle w:val="Style8"/>
        <w:rPr>
          <w:lang w:val="ru-RU"/>
        </w:rPr>
      </w:pPr>
      <w:r>
        <w:rPr>
          <w:b/>
          <w:bCs/>
          <w:i w:val="false"/>
          <w:iCs w:val="false"/>
          <w:sz w:val="24"/>
          <w:lang w:val="ru-RU"/>
        </w:rPr>
        <w:t>Ключевые слова</w:t>
      </w:r>
      <w:r>
        <w:rPr>
          <w:i/>
          <w:sz w:val="24"/>
          <w:lang w:val="ru-RU"/>
        </w:rPr>
        <w:t xml:space="preserve">: </w:t>
      </w:r>
      <w:r>
        <w:rPr>
          <w:sz w:val="24"/>
          <w:lang w:val="ru-RU"/>
        </w:rPr>
        <w:t>аппаратное хранение ключей; ESP32; Ed25519; SSH-агент; контейнерная виртуализация; LXD; LUKS; обнаружение аномалий; LLM; Ollama.</w:t>
      </w:r>
    </w:p>
    <w:p>
      <w:pPr>
        <w:pStyle w:val="Normal"/>
        <w:rPr>
          <w:lang w:val="ru-RU"/>
        </w:rPr>
      </w:pPr>
      <w:r>
        <w:rPr>
          <w:lang w:val="ru-RU"/>
        </w:rPr>
        <w:t>Обеспечение безопасного удалённого доступа к серверным средам является одной из ключевых задач информационной безопасности. Традиционные подходы предполагают хранение криптографических ключей на файловой системе рабочей станции, что создаёт риск их компрометации [1]. Коммерческие аппаратные решения (YubiKey, Nitrokey) решают эту проблему, однако их стоимость и закрытость кода ограничивают применимость в образовательном контексте. Кроме того, после успешной аутентификации действия пользователя внутри изолированной среды остаются без мониторинга.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разработка системы, объединяющей аппаратное хранение ключей на ESP32-C3, управление контейнерными средами LXD через SSH [2] и двухуровневый анализ поведения пользователей. Приватный ключ никогда не покидает микроконтроллер, а подсистема мониторинга автоматически выявляет аномалии и позволяет проводить углублённый анализ командной истории с помощью локальной языковой модели.</w:t>
      </w:r>
    </w:p>
    <w:p>
      <w:pPr>
        <w:pStyle w:val="Style9"/>
        <w:rPr>
          <w:lang w:val="ru-RU"/>
        </w:rPr>
      </w:pPr>
      <w:r>
        <w:rPr>
          <w:lang w:val="ru-RU"/>
        </w:rPr>
        <w:t>Архитектура системы</w:t>
      </w:r>
    </w:p>
    <w:p>
      <w:pPr>
        <w:pStyle w:val="Normal"/>
        <w:rPr>
          <w:lang w:val="ru-RU"/>
        </w:rPr>
      </w:pPr>
      <w:r>
        <w:rPr>
          <w:lang w:val="ru-RU"/>
        </w:rPr>
        <w:t>Система состоит из пяти компонентов (рис. 1). Микроконтроллер ESP32-C3 (RISC-V, 160 МГц) генерирует ключевые пары Ed25519 с использованием аппаратного TRNG; приватный ключ хранится в NVS и может быть зашифрован паролем через PBKDF2-SHA256 + AES-256-CBC [3]. Python-мост подключается к ESP32 через USB-CDC (115200 бод) и создаёт Unix-сокет, совместимый с протоколом SSH-агента (RFC 4253) [4].</w:t>
      </w:r>
    </w:p>
    <w:p>
      <w:pPr>
        <w:pStyle w:val="Normal"/>
        <w:rPr>
          <w:lang w:val="ru-RU"/>
        </w:rPr>
      </w:pPr>
      <w:r>
        <w:rPr>
          <w:lang w:val="ru-RU"/>
        </w:rPr>
        <w:t>Go-клиент реализует аутентификацию «вызов-ответ»: менеджер отправляет 32 случайных байта, клиент подписывает их через агент. C-менеджер (TCP-порт 5555) хранит учётные записи в БД SQLCipher [5], создаёт LUKS-тома (100 МБ) для каждого контейнера и управляет LXD-контейнерами (Alpine Linux 3.20) через REST API [6]. При каждом значимом событии (аутентификация, подключение, отключение, тайм-аут) менеджер записывает сессионное событие в таблицу sessions зашифрованной базы данных.</w:t>
      </w:r>
    </w:p>
    <w:p>
      <w:pPr>
        <w:pStyle w:val="Normal"/>
        <w:spacing w:before="120" w:after="0"/>
        <w:ind w:hanging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039995" cy="1226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0"/>
        <w:rPr>
          <w:lang w:val="ru-RU"/>
        </w:rPr>
      </w:pPr>
      <w:r>
        <w:rPr>
          <w:lang w:val="ru-RU"/>
        </w:rPr>
        <w:t>Рис. 1. Архитектура системы безопасного удалённого доступа</w:t>
      </w:r>
    </w:p>
    <w:p>
      <w:pPr>
        <w:pStyle w:val="Style9"/>
        <w:rPr>
          <w:lang w:val="ru-RU"/>
        </w:rPr>
      </w:pPr>
      <w:r>
        <w:rPr>
          <w:lang w:val="ru-RU"/>
        </w:rPr>
        <w:t>Анализ поведения пользователей</w:t>
      </w:r>
    </w:p>
    <w:p>
      <w:pPr>
        <w:pStyle w:val="Normal"/>
        <w:rPr>
          <w:lang w:val="ru-RU"/>
        </w:rPr>
      </w:pPr>
      <w:r>
        <w:rPr>
          <w:lang w:val="ru-RU"/>
        </w:rPr>
        <w:t>Первый уровень (AI 1) реализует статистическое обнаружение аномалий без привлечения языковых моделей. Для каждого пользователя формируется базовый профиль за 30 дней по трём метрикам: распределение подключений по времени суток (24 часовых бакета, порог 2%), частота сессий в день и длительность сессий (z-score пар ssh_connected/ssh_disconnected). Серьёзность: z &gt; 2,5 — low, &gt; 3,5 — medium, &gt; 4,5 — high; несколько типов аномалий повышают серьёзность (composite) [7].</w:t>
      </w:r>
    </w:p>
    <w:p>
      <w:pPr>
        <w:pStyle w:val="Normal"/>
        <w:rPr>
          <w:lang w:val="ru-RU"/>
        </w:rPr>
      </w:pPr>
      <w:r>
        <w:rPr>
          <w:lang w:val="ru-RU"/>
        </w:rPr>
        <w:t>Второй уровень (AI 2) запускается администратором (рис. 2). Модуль временно монтирует LUKS-том контейнера, считывает файлы истории оболочки и размонтирует том. Команды проходят пятиуровневую санитизацию: нумерованный формат с маркерами BEGIN/END; фильтрация паттернов инъекций регулярными выражениями; ограничение объёма (500 строк по 200 символов); явная маркировка блока как данных; валидация ответа по JSON-схеме с полями risk_level, summary, findings, recommendation [8]. В качестве модели используется Qwen2.5 (3B), запускаемая локально через Ollama [9], что исключает утечку данных. Результаты сохраняются в БД и JSON-файл для автоматической генерации PDF-отчёта.</w:t>
      </w:r>
    </w:p>
    <w:p>
      <w:pPr>
        <w:pStyle w:val="Normal"/>
        <w:spacing w:before="120" w:after="0"/>
        <w:ind w:hanging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2682875" cy="4500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46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450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ru-RU"/>
        </w:rPr>
        <w:drawing>
          <wp:inline distT="0" distB="0" distL="0" distR="0">
            <wp:extent cx="2682875" cy="4144645"/>
            <wp:effectExtent l="0" t="0" r="0" b="0"/>
            <wp:docPr id="3" name="Picture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5099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414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0"/>
        <w:rPr>
          <w:lang w:val="ru-RU"/>
        </w:rPr>
      </w:pPr>
      <w:r>
        <w:rPr>
          <w:lang w:val="ru-RU"/>
        </w:rPr>
        <w:t>Рис. 2. Поток анализа поведения пользователей (AI 1 + AI 2)</w:t>
      </w:r>
    </w:p>
    <w:p>
      <w:pPr>
        <w:pStyle w:val="Style9"/>
        <w:rPr>
          <w:lang w:val="ru-RU"/>
        </w:rPr>
      </w:pPr>
      <w:r>
        <w:rPr>
          <w:lang w:val="ru-RU"/>
        </w:rPr>
        <w:t>Результаты тестирования</w:t>
      </w:r>
    </w:p>
    <w:p>
      <w:pPr>
        <w:pStyle w:val="Normal"/>
        <w:rPr>
          <w:lang w:val="ru-RU"/>
        </w:rPr>
      </w:pPr>
      <w:r>
        <w:rPr>
          <w:lang w:val="ru-RU"/>
        </w:rPr>
        <w:t>Тестирование проводилось на стенде с ESP32-C3-DevKitM-1 и сервером Ubuntu 24.04 LTS. Корректность Ed25519 подтверждена перекрёстной верификацией (OpenSSL, ssh-keygen). Производительность: генерация ключевой пары — менее 100 мс, подпись — 200–250 мс, полный цикл аутентификации — около 500 мс, деривация PBKDF2 (100 000 итераций) — 3–4 с. Потребление памяти прошивкой — 45 КБ из 400 КБ SRAM.</w:t>
      </w:r>
    </w:p>
    <w:p>
      <w:pPr>
        <w:pStyle w:val="Normal"/>
        <w:rPr>
          <w:lang w:val="ru-RU"/>
        </w:rPr>
      </w:pPr>
      <w:r>
        <w:rPr>
          <w:lang w:val="ru-RU"/>
        </w:rPr>
        <w:t>Подсистема анализа тестировалась на синтетических данных: 60 дней нормальных сессий с инъекцией аномалий (подключения в 2:00–5:00 UTC, 15 сессий/день, подозрительные команды). AI 1 обнаружил аномалии unusual_time и high_frequency (severity=high). AI 2 классифицировал историю с попытками чтения /etc/shadow и обратными оболочками как malicious. Данные контейнеров зашифрованы (LUKS); команды анализируются локально; санитизация защищает от инъекций. К ограничениям относится отсутствие Secure Element на ESP32-C3 [3].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Разработана система удалённого доступа к контейнерным средам, объединяющая аппаратное хранение ключей Ed25519 на ESP32-C3, управление LXD-контейнерами с LUKS-шифрованием и двухуровневый анализ поведения (статистический + LLM). Перспективы: интеграция защищённого элемента ATECC608A, беспроводное подключение (BLE/Wi-Fi), совместимость с FIDO2/WebAuthn [10], потоковый мониторинг в реальном времени и интеграция с системами оповещения (SIEM).</w:t>
      </w:r>
    </w:p>
    <w:p>
      <w:pPr>
        <w:pStyle w:val="Style11"/>
        <w:rPr>
          <w:lang w:val="ru-RU"/>
        </w:rPr>
      </w:pPr>
      <w:r>
        <w:rPr>
          <w:lang w:val="ru-RU"/>
        </w:rPr>
        <w:t>Библиографические ссылки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1. </w:t>
      </w:r>
      <w:r>
        <w:rPr>
          <w:i/>
          <w:sz w:val="24"/>
          <w:lang w:val="ru-RU"/>
        </w:rPr>
        <w:t>Ylonen, T.</w:t>
      </w:r>
      <w:r>
        <w:rPr>
          <w:sz w:val="24"/>
          <w:lang w:val="ru-RU"/>
        </w:rPr>
        <w:t xml:space="preserve"> The Secure Shell (SSH) Authentication Protocol / T. Ylonen, C. Lonvick // RFC 4252. 2006.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2. </w:t>
      </w:r>
      <w:r>
        <w:rPr>
          <w:i/>
          <w:sz w:val="24"/>
          <w:lang w:val="ru-RU"/>
        </w:rPr>
        <w:t>Canonical Ltd.</w:t>
      </w:r>
      <w:r>
        <w:rPr>
          <w:sz w:val="24"/>
          <w:lang w:val="ru-RU"/>
        </w:rPr>
        <w:t xml:space="preserve"> LXD Documentation. URL: https://documentation.ubuntu.com/lxd/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3. </w:t>
      </w:r>
      <w:r>
        <w:rPr>
          <w:i/>
          <w:sz w:val="24"/>
          <w:lang w:val="ru-RU"/>
        </w:rPr>
        <w:t>Espressif Systems.</w:t>
      </w:r>
      <w:r>
        <w:rPr>
          <w:sz w:val="24"/>
          <w:lang w:val="ru-RU"/>
        </w:rPr>
        <w:t xml:space="preserve"> ESP32-C3 Series Datasheet Version 1.2. URL: https://www.espressif.com/sites/default/files/documentation/esp32-c3_datasheet_en.pdf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4. </w:t>
      </w:r>
      <w:r>
        <w:rPr>
          <w:i/>
          <w:sz w:val="24"/>
          <w:lang w:val="ru-RU"/>
        </w:rPr>
        <w:t>Ylonen, T.</w:t>
      </w:r>
      <w:r>
        <w:rPr>
          <w:sz w:val="24"/>
          <w:lang w:val="ru-RU"/>
        </w:rPr>
        <w:t xml:space="preserve"> The Secure Shell (SSH) Transport Layer Protocol / T. Ylonen, C. Lonvick // RFC 4253. 2006.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5. </w:t>
      </w:r>
      <w:r>
        <w:rPr>
          <w:i/>
          <w:sz w:val="24"/>
          <w:lang w:val="ru-RU"/>
        </w:rPr>
        <w:t>Zetetic LLC.</w:t>
      </w:r>
      <w:r>
        <w:rPr>
          <w:sz w:val="24"/>
          <w:lang w:val="ru-RU"/>
        </w:rPr>
        <w:t xml:space="preserve"> SQLCipher — Full Database Encryption for SQLite. URL: https://www.zetetic.net/sqlcipher/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6. </w:t>
      </w:r>
      <w:r>
        <w:rPr>
          <w:i/>
          <w:sz w:val="24"/>
          <w:lang w:val="ru-RU"/>
        </w:rPr>
        <w:t>Stéphane Graber.</w:t>
      </w:r>
      <w:r>
        <w:rPr>
          <w:sz w:val="24"/>
          <w:lang w:val="ru-RU"/>
        </w:rPr>
        <w:t xml:space="preserve"> LXD — system containers and virtual machines. URL: https://github.com/canonical/lxd (дата обращения: 15.03.2026).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7. </w:t>
      </w:r>
      <w:r>
        <w:rPr>
          <w:i/>
          <w:sz w:val="24"/>
          <w:lang w:val="ru-RU"/>
        </w:rPr>
        <w:t>Shewhart, W. A.</w:t>
      </w:r>
      <w:r>
        <w:rPr>
          <w:sz w:val="24"/>
          <w:lang w:val="ru-RU"/>
        </w:rPr>
        <w:t xml:space="preserve"> Economic Control of Quality of Manufactured Product / W. A. Shewhart. — New York: D. Van Nostrand Company, 1931.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8. </w:t>
      </w:r>
      <w:r>
        <w:rPr>
          <w:i/>
          <w:sz w:val="24"/>
          <w:lang w:val="ru-RU"/>
        </w:rPr>
        <w:t>Greshake, K.</w:t>
      </w:r>
      <w:r>
        <w:rPr>
          <w:sz w:val="24"/>
          <w:lang w:val="ru-RU"/>
        </w:rPr>
        <w:t xml:space="preserve"> Not what you've signed up for: Compromising Real-World LLM-Integrated Applications with Indirect Prompt Injection / K. Greshake, S. Abdelnabi, S. Mishra et al. // Proceedings of AISec. 2023. P. 79–90.</w:t>
      </w:r>
    </w:p>
    <w:p>
      <w:pPr>
        <w:pStyle w:val="Style12"/>
        <w:rPr>
          <w:lang w:val="ru-RU"/>
        </w:rPr>
      </w:pPr>
      <w:r>
        <w:rPr>
          <w:sz w:val="24"/>
          <w:lang w:val="ru-RU"/>
        </w:rPr>
        <w:t xml:space="preserve">9. </w:t>
      </w:r>
      <w:r>
        <w:rPr>
          <w:i/>
          <w:sz w:val="24"/>
          <w:lang w:val="ru-RU"/>
        </w:rPr>
        <w:t>Ollama.</w:t>
      </w:r>
      <w:r>
        <w:rPr>
          <w:sz w:val="24"/>
          <w:lang w:val="ru-RU"/>
        </w:rPr>
        <w:t xml:space="preserve"> Get up and running with large language models locally. URL: https://ollama.com/ (дата обращения: 15.03.2026).</w:t>
      </w:r>
    </w:p>
    <w:p>
      <w:pPr>
        <w:pStyle w:val="Style12"/>
        <w:spacing w:before="0" w:after="40"/>
        <w:rPr>
          <w:lang w:val="ru-RU"/>
        </w:rPr>
      </w:pPr>
      <w:r>
        <w:rPr>
          <w:sz w:val="24"/>
          <w:lang w:val="ru-RU"/>
        </w:rPr>
        <w:t xml:space="preserve">10. </w:t>
      </w:r>
      <w:r>
        <w:rPr>
          <w:i/>
          <w:sz w:val="24"/>
          <w:lang w:val="ru-RU"/>
        </w:rPr>
        <w:t>FIDO Alliance.</w:t>
      </w:r>
      <w:r>
        <w:rPr>
          <w:sz w:val="24"/>
          <w:lang w:val="ru-RU"/>
        </w:rPr>
        <w:t xml:space="preserve"> FIDO2: WebAuthn &amp; CTAP. URL: https://fidoalliance.org/fido2/ (дата обращения: 15.03.2026).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0"/>
      <w:ind w:firstLine="567"/>
      <w:jc w:val="both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TDA" w:customStyle="1">
    <w:name w:val="Название статьи CTDA"/>
    <w:qFormat/>
    <w:pPr>
      <w:widowControl/>
      <w:bidi w:val="0"/>
      <w:spacing w:lineRule="auto" w:line="240" w:before="0" w:after="240"/>
      <w:jc w:val="center"/>
    </w:pPr>
    <w:rPr>
      <w:rFonts w:ascii="Times New Roman" w:hAnsi="Times New Roman" w:eastAsia="ＭＳ 明朝" w:cs=""/>
      <w:b/>
      <w:caps/>
      <w:color w:val="000000"/>
      <w:kern w:val="0"/>
      <w:sz w:val="28"/>
      <w:szCs w:val="22"/>
      <w:lang w:val="en-US" w:eastAsia="en-US" w:bidi="ar-SA"/>
    </w:rPr>
  </w:style>
  <w:style w:type="paragraph" w:styleId="Style5" w:customStyle="1">
    <w:name w:val="Автор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6" w:customStyle="1">
    <w:name w:val="Аффилиация"/>
    <w:qFormat/>
    <w:pPr>
      <w:widowControl/>
      <w:bidi w:val="0"/>
      <w:spacing w:lineRule="auto" w:line="240" w:before="0" w:after="240"/>
      <w:jc w:val="center"/>
    </w:pPr>
    <w:rPr>
      <w:rFonts w:ascii="Times New Roman" w:hAnsi="Times New Roman" w:eastAsia="ＭＳ 明朝" w:cs=""/>
      <w:i/>
      <w:color w:val="000000"/>
      <w:kern w:val="0"/>
      <w:sz w:val="24"/>
      <w:szCs w:val="22"/>
      <w:lang w:val="en-US" w:eastAsia="en-US" w:bidi="ar-SA"/>
    </w:rPr>
  </w:style>
  <w:style w:type="paragraph" w:styleId="Style7" w:customStyle="1">
    <w:name w:val="Аннотация"/>
    <w:qFormat/>
    <w:pPr>
      <w:widowControl/>
      <w:bidi w:val="0"/>
      <w:spacing w:lineRule="auto" w:line="240" w:before="0" w:after="120"/>
      <w:ind w:firstLine="567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8" w:customStyle="1">
    <w:name w:val="Ключевые слова"/>
    <w:qFormat/>
    <w:pPr>
      <w:widowControl/>
      <w:bidi w:val="0"/>
      <w:spacing w:lineRule="auto" w:line="240" w:before="0" w:after="360"/>
      <w:ind w:firstLine="567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9" w:customStyle="1">
    <w:name w:val="Подзаголовок"/>
    <w:qFormat/>
    <w:pPr>
      <w:widowControl/>
      <w:bidi w:val="0"/>
      <w:spacing w:lineRule="auto" w:line="240" w:before="240" w:after="12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10" w:customStyle="1">
    <w:name w:val="Подпись рисунка"/>
    <w:qFormat/>
    <w:pPr>
      <w:widowControl/>
      <w:bidi w:val="0"/>
      <w:spacing w:lineRule="auto" w:line="240" w:before="120" w:after="240"/>
      <w:ind w:hanging="0"/>
      <w:jc w:val="center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Style11" w:customStyle="1">
    <w:name w:val="БИБЛИОГРАФИЧЕСКИЕ ССЫЛКИ"/>
    <w:qFormat/>
    <w:pPr>
      <w:widowControl/>
      <w:bidi w:val="0"/>
      <w:spacing w:lineRule="auto" w:line="240" w:before="240" w:after="120"/>
      <w:jc w:val="center"/>
    </w:pPr>
    <w:rPr>
      <w:rFonts w:ascii="Times New Roman" w:hAnsi="Times New Roman" w:eastAsia="ＭＳ 明朝" w:cs=""/>
      <w:b/>
      <w:color w:val="000000"/>
      <w:kern w:val="0"/>
      <w:sz w:val="28"/>
      <w:szCs w:val="22"/>
      <w:lang w:val="en-US" w:eastAsia="en-US" w:bidi="ar-SA"/>
    </w:rPr>
  </w:style>
  <w:style w:type="paragraph" w:styleId="Style12" w:customStyle="1">
    <w:name w:val="Список литературы"/>
    <w:qFormat/>
    <w:pPr>
      <w:widowControl/>
      <w:bidi w:val="0"/>
      <w:spacing w:lineRule="auto" w:line="240" w:before="0" w:after="40"/>
      <w:ind w:hanging="0" w:start="283"/>
      <w:jc w:val="both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LibreOffice/26.2.1.2$Linux_X86_64 LibreOffice_project/620$Build-2</Application>
  <AppVersion>15.0000</AppVersion>
  <Pages>5</Pages>
  <Words>903</Words>
  <Characters>6463</Characters>
  <CharactersWithSpaces>7343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2026-03-23T17:36:53Z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