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3.22.0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w:t>
      </w:r>
    </w:p>
    <w:p>
      <w:pPr>
        <w:pStyle w:val="SourceCode"/>
      </w:pP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-e </w:t>
      </w:r>
      <w:r>
        <w:rPr>
          <w:rStyle w:val="StringTok"/>
        </w:rPr>
        <w:t xml:space="preserve">".[gui,reports,mcs,nwb]"</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Se i problemi sono più di tre se ne vedono i primi tre e il collegamento</w:t>
      </w:r>
      <w:r>
        <w:t xml:space="preserve"> </w:t>
      </w:r>
      <w:r>
        <w:rPr>
          <w:i/>
        </w:rPr>
        <w:t xml:space="preserve">… mostra tutto (altri N)</w:t>
      </w:r>
      <w:r>
        <w:t xml:space="preserve"> </w:t>
      </w:r>
      <w:r>
        <w:t xml:space="preserve">apre l’elenco completo (</w:t>
      </w:r>
      <w:r>
        <w:rPr>
          <w:i/>
        </w:rPr>
        <w:t xml:space="preserve">mostra meno</w:t>
      </w:r>
      <w:r>
        <w:t xml:space="preserve"> </w:t>
      </w:r>
      <w:r>
        <w:t xml:space="preserve">lo richiude; la scelta resta per le registrazioni successive); l’elenco completo è anche nel suggerimento che compare passando con il mouse.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Tutto annullabile con Ctrl+Z. I burst di rumore sono evidenziati in grigio. Tastiera: ← → battito precedente/successivo (cerchio arancione), Canc toglie il battito selezionato, P / N ripolarizzazione sul picco positivo / negativo per tutti i battiti,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 Dalla v3.23 l’onda ha la</w:t>
      </w:r>
      <w:r>
        <w:t xml:space="preserve"> </w:t>
      </w:r>
      <w:r>
        <w:rPr>
          <w:b/>
        </w:rPr>
        <w:t xml:space="preserve">stessa polarità in tutta la registrazione</w:t>
      </w:r>
      <w:r>
        <w:t xml:space="preserve">: con un’onda bifasica alcuni battiti prendevano il lobo positivo e altri quello negativo (segnalato dagli operatori). Ora ogni battito cerca prima il segno della registrazione — quello del template, oppure l’altro se almeno due battiti su tre lo hanno scelto — e il lobo opposto solo se di quel segno non c’è un’onda sopra la soglia. Sul corpus GG le registrazioni con polarità mista passano da 71 a 9 (sviluppo) e da 28 a 4 (test), le ripolarizzazioni entro 20 ms da quelle dell’operatore dal 57 al 62 % e dal 64 al 68 %; il confronto per registrazione resta invariato (un elettrodo in meno entro ±10 % sullo sviluppo, tre in più entro ±5 % sul test); circa il 5 % dei battiti resta senza ripolarizzazione invece di prendere l’altro lobo.</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8"/>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8"/>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8"/>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8"/>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8"/>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8"/>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29"/>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29"/>
        </w:numPr>
        <w:pStyle w:val="Compact"/>
      </w:pPr>
      <w:r>
        <w:t xml:space="preserve">Multi Channel Systems,</w:t>
      </w:r>
      <w:r>
        <w:t xml:space="preserve"> </w:t>
      </w:r>
      <w:r>
        <w:rPr>
          <w:i/>
        </w:rPr>
        <w:t xml:space="preserve">HDF5 MCS Raw Data Definition</w:t>
      </w:r>
      <w:r>
        <w:t xml:space="preserve">, protocollo v3.</w:t>
      </w:r>
    </w:p>
    <w:p>
      <w:pPr>
        <w:numPr>
          <w:ilvl w:val="0"/>
          <w:numId w:val="1029"/>
        </w:numPr>
        <w:pStyle w:val="Compact"/>
      </w:pPr>
      <w:r>
        <w:t xml:space="preserve">Progetto PHOENIX, deliverable D1.2 (layout µHeart MVP 64) e D10.1 (analisi di riferimento).</w:t>
      </w:r>
    </w:p>
    <w:p>
      <w:pPr>
        <w:numPr>
          <w:ilvl w:val="0"/>
          <w:numId w:val="1029"/>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2026-10-26T18:36:16Z</dcterms:created>
  <dcterms:modified xsi:type="dcterms:W3CDTF">2026-10-26T18:36:16Z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3.22.0 · analisi del field potential cardiaco su MEA (CSV Digilent e HDF5 Multi Channel Systems)</vt:lpwstr>
  </property>
</Properties>
</file>