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3.21.0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più alto — positivo o negativo — entro ±25 ms</w:t>
      </w:r>
      <w:r>
        <w:t xml:space="preserve"> </w:t>
      </w:r>
      <w:r>
        <w:rPr>
          <w:b/>
        </w:rPr>
        <w:t xml:space="preserve">sul tracciato visualizzato</w:t>
      </w:r>
      <w:r>
        <w:t xml:space="preserve">, quindi sulla vista 1–40 Hz se è quella che si guarda;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nei ±10 ms attorno al marcatore, per cui un marcatore fuori dallo spike dava un’ampiezza sbagliata;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più alto entro ±25 ms del tracciato visualizzato (il software marca il punto più ripido dello spike, i fogli del laboratorio il picco).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2026-10-25T09:44:59Z</dcterms:created>
  <dcterms:modified xsi:type="dcterms:W3CDTF">2026-10-25T09:44:59Z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3.21.0 · analisi del field potential cardiaco su MEA (CSV Digilent e HDF5 Multi Channel Systems)</vt:lpwstr>
  </property>
</Properties>
</file>