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200"/>
        <w:jc w:val="center"/>
      </w:pPr>
      <w:r>
        <w:rPr>
          <w:rFonts w:ascii="Arial" w:cs="Arial" w:eastAsia="Arial" w:hAnsi="Arial"/>
          <w:b/>
          <w:bCs/>
          <w:color w:val="1F4E79"/>
          <w:sz w:val="52"/>
          <w:szCs w:val="52"/>
        </w:rPr>
        <w:t xml:space="preserve">CDISC SEND Export</w:t>
      </w:r>
    </w:p>
    <w:p>
      <w:pPr>
        <w:spacing w:after="100"/>
        <w:jc w:val="center"/>
      </w:pPr>
      <w:r>
        <w:rPr>
          <w:rFonts w:ascii="Arial" w:cs="Arial" w:eastAsia="Arial" w:hAnsi="Arial"/>
          <w:color w:val="2E75B6"/>
          <w:sz w:val="32"/>
          <w:szCs w:val="32"/>
        </w:rPr>
        <w:t xml:space="preserve">Reference Guide for hiPSC-CM Electrophysiology</w:t>
      </w:r>
    </w:p>
    <w:p>
      <w:pPr>
        <w:spacing w:after="600"/>
        <w:jc w:val="center"/>
      </w:pPr>
      <w:r>
        <w:rPr>
          <w:rFonts w:ascii="Arial" w:cs="Arial" w:eastAsia="Arial" w:hAnsi="Arial"/>
          <w:color w:val="666666"/>
          <w:sz w:val="20"/>
          <w:szCs w:val="20"/>
        </w:rPr>
        <w:t xml:space="preserve">SENDIG v3.1.1 | Pinnacle 21 Validated | NCI SEND Terminology 2025-09-26</w:t>
      </w:r>
    </w:p>
    <w:p>
      <w:pPr>
        <w:spacing w:after="100"/>
        <w:jc w:val="center"/>
      </w:pPr>
      <w:r>
        <w:rPr>
          <w:rFonts w:ascii="Consolas" w:cs="Consolas" w:eastAsia="Consolas" w:hAnsi="Consolas"/>
          <w:color w:val="666666"/>
          <w:sz w:val="20"/>
          <w:szCs w:val="20"/>
        </w:rPr>
        <w:t xml:space="preserve">SW_ElectroPhysiology / cardiac_fp_analyzer</w:t>
      </w:r>
    </w:p>
    <w:p>
      <w:pPr>
        <w:jc w:val="center"/>
      </w:pPr>
      <w:r>
        <w:rPr>
          <w:rFonts w:ascii="Arial" w:cs="Arial" w:eastAsia="Arial" w:hAnsi="Arial"/>
          <w:color w:val="999999"/>
          <w:sz w:val="20"/>
          <w:szCs w:val="20"/>
        </w:rPr>
        <w:t xml:space="preserve">Version 1.0 — March 22, 2026</w:t>
      </w:r>
    </w:p>
    <w:r>
      <w:br w:type="page"/>
    </w:r>
    <w:p>
      <w:pPr>
        <w:pStyle w:val="Heading1"/>
        <w:spacing w:after="150" w:before="300"/>
      </w:pPr>
      <w:r>
        <w:rPr>
          <w:rFonts w:ascii="Arial" w:cs="Arial" w:eastAsia="Arial" w:hAnsi="Arial"/>
        </w:rPr>
        <w:t xml:space="preserve">1. Overview</w:t>
      </w:r>
    </w:p>
    <w:p>
      <w:pPr>
        <w:spacing w:after="120"/>
      </w:pPr>
      <w:r>
        <w:rPr>
          <w:rFonts w:ascii="Arial" w:cs="Arial" w:eastAsia="Arial" w:hAnsi="Arial"/>
          <w:sz w:val="20"/>
          <w:szCs w:val="20"/>
        </w:rPr>
        <w:t xml:space="preserve">This document consolidates all CDISC SEND knowledge acquired during the development of the regulatory export module for hiPSC-CM (human induced Pluripotent Stem Cell-derived Cardiomyocyte) electrophysiology data. It serves as a reference for future software development, specifically for implementing configurable options in the analysis application.</w:t>
      </w:r>
    </w:p>
    <w:p>
      <w:pPr>
        <w:spacing w:after="120"/>
      </w:pPr>
      <w:r>
        <w:rPr>
          <w:rFonts w:ascii="Arial" w:cs="Arial" w:eastAsia="Arial" w:hAnsi="Arial"/>
          <w:sz w:val="20"/>
          <w:szCs w:val="20"/>
        </w:rPr>
        <w:t xml:space="preserve">The export module generates SAS Transport v5 (.xpt) files and a Define-XML 2.1 metadata file, validated against Pinnacle 21 Community (FDA 2508.1 engine) with SENDIG v3.1.1 compliance. The study follows the CiPA (Comprehensive in vitro Proarrhythmia Assay) framework for cardiac safety assessment.</w:t>
      </w:r>
    </w:p>
    <w:p>
      <w:pPr>
        <w:pStyle w:val="Heading2"/>
        <w:spacing w:after="150" w:before="300"/>
      </w:pPr>
      <w:r>
        <w:rPr>
          <w:rFonts w:ascii="Arial" w:cs="Arial" w:eastAsia="Arial" w:hAnsi="Arial"/>
        </w:rPr>
        <w:t xml:space="preserve">1.1 Study Context: In Vitro vs. In Vivo</w:t>
      </w:r>
    </w:p>
    <w:p>
      <w:pPr>
        <w:spacing w:after="120"/>
      </w:pPr>
      <w:r>
        <w:rPr>
          <w:rFonts w:ascii="Arial" w:cs="Arial" w:eastAsia="Arial" w:hAnsi="Arial"/>
          <w:sz w:val="20"/>
          <w:szCs w:val="20"/>
        </w:rPr>
        <w:t xml:space="preserve">SENDIG was designed for animal (in vivo) toxicology studies. Applying it to in vitro hiPSC-CM data requires several adaptations. The key conceptual mappings are:</w:t>
      </w:r>
    </w:p>
    <w:p>
      <w:pPr>
        <w:spacing w:after="120"/>
      </w:pPr>
      <w:r>
        <w:rPr>
          <w:rFonts w:ascii="Arial" w:cs="Arial" w:eastAsia="Arial" w:hAnsi="Arial"/>
          <w:b/>
          <w:bCs/>
          <w:sz w:val="20"/>
          <w:szCs w:val="20"/>
        </w:rPr>
        <w:t xml:space="preserve">Subject = Well/Tissue: </w:t>
      </w:r>
      <w:r>
        <w:rPr>
          <w:rFonts w:ascii="Arial" w:cs="Arial" w:eastAsia="Arial" w:hAnsi="Arial"/>
          <w:sz w:val="20"/>
          <w:szCs w:val="20"/>
        </w:rPr>
        <w:t xml:space="preserve">Each MEA well or tissue sample is treated as an individual subject (USUBJID). Unlike animal studies, there is no biological age, sex differentiation, or strain in the traditional sense.</w:t>
      </w:r>
    </w:p>
    <w:p>
      <w:pPr>
        <w:spacing w:after="120"/>
      </w:pPr>
      <w:r>
        <w:rPr>
          <w:rFonts w:ascii="Arial" w:cs="Arial" w:eastAsia="Arial" w:hAnsi="Arial"/>
          <w:b/>
          <w:bCs/>
          <w:sz w:val="20"/>
          <w:szCs w:val="20"/>
        </w:rPr>
        <w:t xml:space="preserve">Exposure = Drug Application: </w:t>
      </w:r>
      <w:r>
        <w:rPr>
          <w:rFonts w:ascii="Arial" w:cs="Arial" w:eastAsia="Arial" w:hAnsi="Arial"/>
          <w:sz w:val="20"/>
          <w:szCs w:val="20"/>
        </w:rPr>
        <w:t xml:space="preserve">Adding compound to culture medium maps to the EX domain. ROUTE=TOPICAL is the closest standard term for surface application.</w:t>
      </w:r>
    </w:p>
    <w:p>
      <w:pPr>
        <w:spacing w:after="120"/>
      </w:pPr>
      <w:r>
        <w:rPr>
          <w:rFonts w:ascii="Arial" w:cs="Arial" w:eastAsia="Arial" w:hAnsi="Arial"/>
          <w:b/>
          <w:bCs/>
          <w:sz w:val="20"/>
          <w:szCs w:val="20"/>
        </w:rPr>
        <w:t xml:space="preserve">ECG = Field Potential: </w:t>
      </w:r>
      <w:r>
        <w:rPr>
          <w:rFonts w:ascii="Arial" w:cs="Arial" w:eastAsia="Arial" w:hAnsi="Arial"/>
          <w:sz w:val="20"/>
          <w:szCs w:val="20"/>
        </w:rPr>
        <w:t xml:space="preserve">The EG (ECG Test Results) domain is repurposed for field potential measurements. Standard ECG test codes do not cover MEA-derived endpoints, so custom extensible codes are used.</w:t>
      </w:r>
    </w:p>
    <w:r>
      <w:br w:type="page"/>
    </w:r>
    <w:p>
      <w:pPr>
        <w:pStyle w:val="Heading1"/>
        <w:spacing w:after="150" w:before="300"/>
      </w:pPr>
      <w:r>
        <w:rPr>
          <w:rFonts w:ascii="Arial" w:cs="Arial" w:eastAsia="Arial" w:hAnsi="Arial"/>
        </w:rPr>
        <w:t xml:space="preserve">2. Study Design and Dosing Mode</w:t>
      </w:r>
    </w:p>
    <w:p>
      <w:pPr>
        <w:spacing w:after="120"/>
      </w:pPr>
      <w:r>
        <w:rPr>
          <w:rFonts w:ascii="Arial" w:cs="Arial" w:eastAsia="Arial" w:hAnsi="Arial"/>
          <w:sz w:val="20"/>
          <w:szCs w:val="20"/>
        </w:rPr>
        <w:t xml:space="preserve">The study design (SDESIGN) determines how subjects are assigned to treatment groups. For hiPSC-CM studies, this critically depends on the dosing protocol.</w:t>
      </w:r>
    </w:p>
    <w:p>
      <w:pPr>
        <w:pStyle w:val="Heading2"/>
        <w:spacing w:after="150" w:before="300"/>
      </w:pPr>
      <w:r>
        <w:rPr>
          <w:rFonts w:ascii="Arial" w:cs="Arial" w:eastAsia="Arial" w:hAnsi="Arial"/>
        </w:rPr>
        <w:t xml:space="preserve">2.1 Dosing Protocols</w:t>
      </w:r>
    </w:p>
    <w:p>
      <w:pPr>
        <w:spacing w:after="120"/>
      </w:pPr>
      <w:r>
        <w:rPr>
          <w:rFonts w:ascii="Arial" w:cs="Arial" w:eastAsia="Arial" w:hAnsi="Arial"/>
          <w:b/>
          <w:bCs/>
          <w:sz w:val="20"/>
          <w:szCs w:val="20"/>
        </w:rPr>
        <w:t xml:space="preserve">Parallel (separate tissues per dose): </w:t>
      </w:r>
      <w:r>
        <w:rPr>
          <w:rFonts w:ascii="Arial" w:cs="Arial" w:eastAsia="Arial" w:hAnsi="Arial"/>
          <w:sz w:val="20"/>
          <w:szCs w:val="20"/>
        </w:rPr>
        <w:t xml:space="preserve">Each well receives a single compound at a single concentration. Different wells receive different concentrations. This is the standard CiPA multi-compound screening protocol and maps to SDESIGN=PARALLEL.</w:t>
      </w:r>
    </w:p>
    <w:p>
      <w:pPr>
        <w:spacing w:after="120"/>
      </w:pPr>
      <w:r>
        <w:rPr>
          <w:rFonts w:ascii="Arial" w:cs="Arial" w:eastAsia="Arial" w:hAnsi="Arial"/>
          <w:b/>
          <w:bCs/>
          <w:sz w:val="20"/>
          <w:szCs w:val="20"/>
        </w:rPr>
        <w:t xml:space="preserve">Cumulative (incremental on same tissue): </w:t>
      </w:r>
      <w:r>
        <w:rPr>
          <w:rFonts w:ascii="Arial" w:cs="Arial" w:eastAsia="Arial" w:hAnsi="Arial"/>
          <w:sz w:val="20"/>
          <w:szCs w:val="20"/>
        </w:rPr>
        <w:t xml:space="preserve">Increasing concentrations are applied sequentially to the same well, with each dose added on top of the previous one. This maps to SDESIGN=DOSE ESCALATION. Each exposure is a separate EX record with increasing EXDOSE values for the same USUBJID.</w:t>
      </w:r>
    </w:p>
    <w:p>
      <w:pPr>
        <w:spacing w:after="120"/>
      </w:pPr>
      <w:r>
        <w:rPr>
          <w:rFonts w:ascii="Arial" w:cs="Arial" w:eastAsia="Arial" w:hAnsi="Arial"/>
          <w:b/>
          <w:bCs/>
          <w:sz w:val="20"/>
          <w:szCs w:val="20"/>
        </w:rPr>
        <w:t xml:space="preserve">Crossover (multiple compounds, same tissue): </w:t>
      </w:r>
      <w:r>
        <w:rPr>
          <w:rFonts w:ascii="Arial" w:cs="Arial" w:eastAsia="Arial" w:hAnsi="Arial"/>
          <w:sz w:val="20"/>
          <w:szCs w:val="20"/>
        </w:rPr>
        <w:t xml:space="preserve">The same well receives different compounds with washout periods between them. This maps to SDESIGN=CROSSOVER and requires EPOCH in the TA/SE domains to separate treatment periods.</w:t>
      </w:r>
    </w:p>
    <w:p>
      <w:pPr>
        <w:pStyle w:val="Heading2"/>
        <w:spacing w:after="150" w:before="300"/>
      </w:pPr>
      <w:r>
        <w:rPr>
          <w:rFonts w:ascii="Arial" w:cs="Arial" w:eastAsia="Arial" w:hAnsi="Arial"/>
        </w:rPr>
        <w:t xml:space="preserve">2.2 CDISC Study Design Values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500"/>
        <w:gridCol w:w="3860"/>
      </w:tblGrid>
      <w:tr>
        <w:tc>
          <w:tcPr>
            <w:tcW w:type="dxa" w:w="20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18"/>
                <w:szCs w:val="18"/>
              </w:rPr>
              <w:t xml:space="preserve">SDESIGN Value</w:t>
            </w:r>
          </w:p>
        </w:tc>
        <w:tc>
          <w:tcPr>
            <w:tcW w:type="dxa" w:w="35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18"/>
                <w:szCs w:val="18"/>
              </w:rPr>
              <w:t xml:space="preserve">Description</w:t>
            </w:r>
          </w:p>
        </w:tc>
        <w:tc>
          <w:tcPr>
            <w:tcW w:type="dxa" w:w="386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18"/>
                <w:szCs w:val="18"/>
              </w:rPr>
              <w:t xml:space="preserve">hiPSC-CM Use Case</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PARALLEL</w:t>
            </w:r>
          </w:p>
        </w:tc>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Subjects assigned to one treatment arm</w:t>
            </w:r>
          </w:p>
        </w:tc>
        <w:tc>
          <w:tcPr>
            <w:tcW w:type="dxa" w:w="3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Different wells/tissues get different compounds. Standard for CiPA multi-drug screening.</w:t>
            </w:r>
          </w:p>
        </w:tc>
      </w:tr>
      <w:tr>
        <w:tc>
          <w:tcPr>
            <w:tcW w:type="dxa" w:w="20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b/>
                <w:bCs/>
                <w:sz w:val="18"/>
                <w:szCs w:val="18"/>
              </w:rPr>
              <w:t xml:space="preserve">DOSE ESCALATION</w:t>
            </w:r>
          </w:p>
        </w:tc>
        <w:tc>
          <w:tcPr>
            <w:tcW w:type="dxa" w:w="35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18"/>
                <w:szCs w:val="18"/>
              </w:rPr>
              <w:t xml:space="preserve">Dosage increased until desired pharmacological effect</w:t>
            </w:r>
          </w:p>
        </w:tc>
        <w:tc>
          <w:tcPr>
            <w:tcW w:type="dxa" w:w="38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18"/>
                <w:szCs w:val="18"/>
              </w:rPr>
              <w:t xml:space="preserve">Cumulative dosing: increasing concentrations applied sequentially to the same tissue.</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CROSSOVER</w:t>
            </w:r>
          </w:p>
        </w:tc>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Subjects receive every treatment in sequence</w:t>
            </w:r>
          </w:p>
        </w:tc>
        <w:tc>
          <w:tcPr>
            <w:tcW w:type="dxa" w:w="3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Same tissue exposed to multiple compounds with washout between exposures.</w:t>
            </w:r>
          </w:p>
        </w:tc>
      </w:tr>
      <w:tr>
        <w:tc>
          <w:tcPr>
            <w:tcW w:type="dxa" w:w="20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b/>
                <w:bCs/>
                <w:sz w:val="18"/>
                <w:szCs w:val="18"/>
              </w:rPr>
              <w:t xml:space="preserve">SINGLE GROUP</w:t>
            </w:r>
          </w:p>
        </w:tc>
        <w:tc>
          <w:tcPr>
            <w:tcW w:type="dxa" w:w="35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18"/>
                <w:szCs w:val="18"/>
              </w:rPr>
              <w:t xml:space="preserve">All subjects receive the same treatment</w:t>
            </w:r>
          </w:p>
        </w:tc>
        <w:tc>
          <w:tcPr>
            <w:tcW w:type="dxa" w:w="38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18"/>
                <w:szCs w:val="18"/>
              </w:rPr>
              <w:t xml:space="preserve">All wells receive same compound at same dose.</w:t>
            </w:r>
          </w:p>
        </w:tc>
      </w:tr>
    </w:tbl>
    <w:p>
      <w:pPr>
        <w:pStyle w:val="Heading2"/>
        <w:spacing w:after="150" w:before="300"/>
      </w:pPr>
      <w:r>
        <w:rPr>
          <w:rFonts w:ascii="Arial" w:cs="Arial" w:eastAsia="Arial" w:hAnsi="Arial"/>
        </w:rPr>
        <w:t xml:space="preserve">2.3 Impact on CDISC Domains</w:t>
      </w:r>
    </w:p>
    <w:p>
      <w:pPr>
        <w:spacing w:after="120"/>
      </w:pPr>
      <w:r>
        <w:rPr>
          <w:rFonts w:ascii="Arial" w:cs="Arial" w:eastAsia="Arial" w:hAnsi="Arial"/>
          <w:sz w:val="20"/>
          <w:szCs w:val="20"/>
        </w:rPr>
        <w:t xml:space="preserve">The dosing protocol affects multiple domains:</w:t>
      </w:r>
    </w:p>
    <w:p>
      <w:pPr>
        <w:spacing w:after="120"/>
      </w:pPr>
      <w:r>
        <w:rPr>
          <w:rFonts w:ascii="Arial" w:cs="Arial" w:eastAsia="Arial" w:hAnsi="Arial"/>
          <w:b/>
          <w:bCs/>
          <w:sz w:val="20"/>
          <w:szCs w:val="20"/>
        </w:rPr>
        <w:t xml:space="preserve">EX (Exposure): </w:t>
      </w:r>
      <w:r>
        <w:rPr>
          <w:rFonts w:ascii="Arial" w:cs="Arial" w:eastAsia="Arial" w:hAnsi="Arial"/>
          <w:sz w:val="20"/>
          <w:szCs w:val="20"/>
        </w:rPr>
        <w:t xml:space="preserve">PARALLEL = one EX record per subject. DOSE ESCALATION = multiple EX records per subject with sequential EXSEQ and increasing EXDOSE. Timestamps must be unique per subject (SE1352).</w:t>
      </w:r>
    </w:p>
    <w:p>
      <w:pPr>
        <w:spacing w:after="120"/>
      </w:pPr>
      <w:r>
        <w:rPr>
          <w:rFonts w:ascii="Arial" w:cs="Arial" w:eastAsia="Arial" w:hAnsi="Arial"/>
          <w:b/>
          <w:bCs/>
          <w:sz w:val="20"/>
          <w:szCs w:val="20"/>
        </w:rPr>
        <w:t xml:space="preserve">TX (Trial Sets): </w:t>
      </w:r>
      <w:r>
        <w:rPr>
          <w:rFonts w:ascii="Arial" w:cs="Arial" w:eastAsia="Arial" w:hAnsi="Arial"/>
          <w:sz w:val="20"/>
          <w:szCs w:val="20"/>
        </w:rPr>
        <w:t xml:space="preserve">PARALLEL = one set per concentration. DOSE ESCALATION = one set with multiple dose levels.</w:t>
      </w:r>
    </w:p>
    <w:p>
      <w:pPr>
        <w:spacing w:after="120"/>
      </w:pPr>
      <w:r>
        <w:rPr>
          <w:rFonts w:ascii="Arial" w:cs="Arial" w:eastAsia="Arial" w:hAnsi="Arial"/>
          <w:b/>
          <w:bCs/>
          <w:sz w:val="20"/>
          <w:szCs w:val="20"/>
        </w:rPr>
        <w:t xml:space="preserve">TA/SE (Trial Arms/Subject Elements): </w:t>
      </w:r>
      <w:r>
        <w:rPr>
          <w:rFonts w:ascii="Arial" w:cs="Arial" w:eastAsia="Arial" w:hAnsi="Arial"/>
          <w:sz w:val="20"/>
          <w:szCs w:val="20"/>
        </w:rPr>
        <w:t xml:space="preserve">CROSSOVER requires multiple elements per arm with EPOCH separation.</w:t>
      </w:r>
    </w:p>
    <w:p>
      <w:pPr>
        <w:spacing w:after="120"/>
      </w:pPr>
      <w:r>
        <w:rPr>
          <w:rFonts w:ascii="Arial" w:cs="Arial" w:eastAsia="Arial" w:hAnsi="Arial"/>
          <w:b/>
          <w:bCs/>
          <w:sz w:val="20"/>
          <w:szCs w:val="20"/>
        </w:rPr>
        <w:t xml:space="preserve">DM (Demographics): </w:t>
      </w:r>
      <w:r>
        <w:rPr>
          <w:rFonts w:ascii="Arial" w:cs="Arial" w:eastAsia="Arial" w:hAnsi="Arial"/>
          <w:sz w:val="20"/>
          <w:szCs w:val="20"/>
        </w:rPr>
        <w:t xml:space="preserve">ARMCD reflects the assigned treatment group. For PARALLEL: one arm per compound. For DOSE ESCALATION: all subjects in same arm.</w:t>
      </w:r>
    </w:p>
    <w:r>
      <w:br w:type="page"/>
    </w:r>
    <w:p>
      <w:pPr>
        <w:pStyle w:val="Heading1"/>
        <w:spacing w:after="150" w:before="300"/>
      </w:pPr>
      <w:r>
        <w:rPr>
          <w:rFonts w:ascii="Arial" w:cs="Arial" w:eastAsia="Arial" w:hAnsi="Arial"/>
        </w:rPr>
        <w:t xml:space="preserve">3. QT/FPD Correction Methods</w:t>
      </w:r>
    </w:p>
    <w:p>
      <w:pPr>
        <w:spacing w:after="120"/>
      </w:pPr>
      <w:r>
        <w:rPr>
          <w:rFonts w:ascii="Arial" w:cs="Arial" w:eastAsia="Arial" w:hAnsi="Arial"/>
          <w:sz w:val="20"/>
          <w:szCs w:val="20"/>
        </w:rPr>
        <w:t xml:space="preserve">Field Potential Duration (FPD) is the in vitro analog of the QT interval. Because FPD varies with beat rate, rate-correction is essential for meaningful drug effect assessment. The corrected FPD (FPDcF) is analogous to QTcF in clinical ECG.</w:t>
      </w:r>
    </w:p>
    <w:p>
      <w:pPr>
        <w:pStyle w:val="Heading2"/>
        <w:spacing w:after="150" w:before="300"/>
      </w:pPr>
      <w:r>
        <w:rPr>
          <w:rFonts w:ascii="Arial" w:cs="Arial" w:eastAsia="Arial" w:hAnsi="Arial"/>
        </w:rPr>
        <w:t xml:space="preserve">3.1 Available Correction Methods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2200"/>
        <w:gridCol w:w="3160"/>
      </w:tblGrid>
      <w:tr>
        <w:tc>
          <w:tcPr>
            <w:tcW w:type="dxa" w:w="18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18"/>
                <w:szCs w:val="18"/>
              </w:rPr>
              <w:t xml:space="preserve">Method</w:t>
            </w:r>
          </w:p>
        </w:tc>
        <w:tc>
          <w:tcPr>
            <w:tcW w:type="dxa" w:w="22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18"/>
                <w:szCs w:val="18"/>
              </w:rPr>
              <w:t xml:space="preserve">Formula</w:t>
            </w:r>
          </w:p>
        </w:tc>
        <w:tc>
          <w:tcPr>
            <w:tcW w:type="dxa" w:w="22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18"/>
                <w:szCs w:val="18"/>
              </w:rPr>
              <w:t xml:space="preserve">CDISC EGTESTCD</w:t>
            </w:r>
          </w:p>
        </w:tc>
        <w:tc>
          <w:tcPr>
            <w:tcW w:type="dxa" w:w="316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18"/>
                <w:szCs w:val="18"/>
              </w:rPr>
              <w:t xml:space="preserve">Notes</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Fridericia</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7"/>
                <w:szCs w:val="17"/>
              </w:rPr>
              <w:t xml:space="preserve">QTc = QT / RR^(1/3)</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7"/>
                <w:szCs w:val="17"/>
              </w:rPr>
              <w:t xml:space="preserve">QTCFAG / QTCFSB</w:t>
            </w:r>
          </w:p>
        </w:tc>
        <w:tc>
          <w:tcPr>
            <w:tcW w:type="dxa" w:w="3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Recommended by CiPA. Used in our FPDcF calculation. Most appropriate for hiPSC-CM.</w:t>
            </w:r>
          </w:p>
        </w:tc>
      </w:tr>
      <w:tr>
        <w:tc>
          <w:tcPr>
            <w:tcW w:type="dxa" w:w="1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b/>
                <w:bCs/>
                <w:sz w:val="18"/>
                <w:szCs w:val="18"/>
              </w:rPr>
              <w:t xml:space="preserve">Bazett</w:t>
            </w:r>
          </w:p>
        </w:tc>
        <w:tc>
          <w:tcPr>
            <w:tcW w:type="dxa" w:w="2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Consolas" w:cs="Consolas" w:eastAsia="Consolas" w:hAnsi="Consolas"/>
                <w:sz w:val="17"/>
                <w:szCs w:val="17"/>
              </w:rPr>
              <w:t xml:space="preserve">QTc = QT / RR^(1/2)</w:t>
            </w:r>
          </w:p>
        </w:tc>
        <w:tc>
          <w:tcPr>
            <w:tcW w:type="dxa" w:w="2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Consolas" w:cs="Consolas" w:eastAsia="Consolas" w:hAnsi="Consolas"/>
                <w:sz w:val="17"/>
                <w:szCs w:val="17"/>
              </w:rPr>
              <w:t xml:space="preserve">QTCBAG / QTCBSB</w:t>
            </w:r>
          </w:p>
        </w:tc>
        <w:tc>
          <w:tcPr>
            <w:tcW w:type="dxa" w:w="31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18"/>
                <w:szCs w:val="18"/>
              </w:rPr>
              <w:t xml:space="preserve">Overcorrects at high/low heart rates. Not recommended for hiPSC-CM.</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Linear</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7"/>
                <w:szCs w:val="17"/>
              </w:rPr>
              <w:t xml:space="preserve">Study-specific linear model</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7"/>
                <w:szCs w:val="17"/>
              </w:rPr>
              <w:t xml:space="preserve">QTCLAG / QTCLSB</w:t>
            </w:r>
          </w:p>
        </w:tc>
        <w:tc>
          <w:tcPr>
            <w:tcW w:type="dxa" w:w="3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Requires sufficient data for regression. Rarely used in vitro.</w:t>
            </w:r>
          </w:p>
        </w:tc>
      </w:tr>
      <w:tr>
        <w:tc>
          <w:tcPr>
            <w:tcW w:type="dxa" w:w="1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b/>
                <w:bCs/>
                <w:sz w:val="18"/>
                <w:szCs w:val="18"/>
              </w:rPr>
              <w:t xml:space="preserve">Van de Water</w:t>
            </w:r>
          </w:p>
        </w:tc>
        <w:tc>
          <w:tcPr>
            <w:tcW w:type="dxa" w:w="2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Consolas" w:cs="Consolas" w:eastAsia="Consolas" w:hAnsi="Consolas"/>
                <w:sz w:val="17"/>
                <w:szCs w:val="17"/>
              </w:rPr>
              <w:t xml:space="preserve">QTc = QT - 0.087*(RR-1000)</w:t>
            </w:r>
          </w:p>
        </w:tc>
        <w:tc>
          <w:tcPr>
            <w:tcW w:type="dxa" w:w="2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Consolas" w:cs="Consolas" w:eastAsia="Consolas" w:hAnsi="Consolas"/>
                <w:sz w:val="17"/>
                <w:szCs w:val="17"/>
              </w:rPr>
              <w:t xml:space="preserve">QTCVAG / QTCVSB</w:t>
            </w:r>
          </w:p>
        </w:tc>
        <w:tc>
          <w:tcPr>
            <w:tcW w:type="dxa" w:w="31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18"/>
                <w:szCs w:val="18"/>
              </w:rPr>
              <w:t xml:space="preserve">Originally for dog telemetry. Not appropriate for hiPSC-CM.</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None (FPD raw)</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No correction applied</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7"/>
                <w:szCs w:val="17"/>
              </w:rPr>
              <w:t xml:space="preserve">Custom: FPD</w:t>
            </w:r>
          </w:p>
        </w:tc>
        <w:tc>
          <w:tcPr>
            <w:tcW w:type="dxa" w:w="3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Raw Field Potential Duration without rate correction.</w:t>
            </w:r>
          </w:p>
        </w:tc>
      </w:tr>
    </w:tbl>
    <w:p>
      <w:pPr>
        <w:pStyle w:val="Heading2"/>
        <w:spacing w:after="150" w:before="300"/>
      </w:pPr>
      <w:r>
        <w:rPr>
          <w:rFonts w:ascii="Arial" w:cs="Arial" w:eastAsia="Arial" w:hAnsi="Arial"/>
        </w:rPr>
        <w:t xml:space="preserve">3.2 Implementation Notes</w:t>
      </w:r>
    </w:p>
    <w:p>
      <w:pPr>
        <w:spacing w:after="120"/>
      </w:pPr>
      <w:r>
        <w:rPr>
          <w:rFonts w:ascii="Arial" w:cs="Arial" w:eastAsia="Arial" w:hAnsi="Arial"/>
          <w:sz w:val="20"/>
          <w:szCs w:val="20"/>
        </w:rPr>
        <w:t xml:space="preserve">The Fridericia correction is applied as: FPDcF = FPD / (BP/1000)^(1/3), where FPD and BP are in milliseconds. The divisor converts BP from ms to seconds before taking the cube root, consistent with the clinical QTcF formula.</w:t>
      </w:r>
    </w:p>
    <w:p>
      <w:pPr>
        <w:spacing w:after="120"/>
      </w:pPr>
      <w:r>
        <w:rPr>
          <w:rFonts w:ascii="Arial" w:cs="Arial" w:eastAsia="Arial" w:hAnsi="Arial"/>
          <w:sz w:val="20"/>
          <w:szCs w:val="20"/>
        </w:rPr>
        <w:t xml:space="preserve">When EGMETHOD is set for these measurements, we use DERIVED because values are algorithmically extracted from raw waveforms, not directly measured by a standard ECG device. This is appropriate for all MEA-derived endpoints.</w:t>
      </w:r>
    </w:p>
    <w:r>
      <w:br w:type="page"/>
    </w:r>
    <w:p>
      <w:pPr>
        <w:pStyle w:val="Heading1"/>
        <w:spacing w:after="150" w:before="300"/>
      </w:pPr>
      <w:r>
        <w:rPr>
          <w:rFonts w:ascii="Arial" w:cs="Arial" w:eastAsia="Arial" w:hAnsi="Arial"/>
        </w:rPr>
        <w:t xml:space="preserve">4. SEND Domain Structure</w:t>
      </w:r>
    </w:p>
    <w:p>
      <w:pPr>
        <w:spacing w:after="120"/>
      </w:pPr>
      <w:r>
        <w:rPr>
          <w:rFonts w:ascii="Arial" w:cs="Arial" w:eastAsia="Arial" w:hAnsi="Arial"/>
          <w:sz w:val="20"/>
          <w:szCs w:val="20"/>
        </w:rPr>
        <w:t xml:space="preserve">The export generates the following SEND domains as .xpt files: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2300"/>
        <w:gridCol w:w="2400"/>
        <w:gridCol w:w="3560"/>
      </w:tblGrid>
      <w:tr>
        <w:tc>
          <w:tcPr>
            <w:tcW w:type="dxa" w:w="11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18"/>
                <w:szCs w:val="18"/>
              </w:rPr>
              <w:t xml:space="preserve">Domain</w:t>
            </w:r>
          </w:p>
        </w:tc>
        <w:tc>
          <w:tcPr>
            <w:tcW w:type="dxa" w:w="23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18"/>
                <w:szCs w:val="18"/>
              </w:rPr>
              <w:t xml:space="preserve">Name</w:t>
            </w:r>
          </w:p>
        </w:tc>
        <w:tc>
          <w:tcPr>
            <w:tcW w:type="dxa" w:w="24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18"/>
                <w:szCs w:val="18"/>
              </w:rPr>
              <w:t xml:space="preserve">Class</w:t>
            </w:r>
          </w:p>
        </w:tc>
        <w:tc>
          <w:tcPr>
            <w:tcW w:type="dxa" w:w="356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18"/>
                <w:szCs w:val="18"/>
              </w:rPr>
              <w:t xml:space="preserve">Content</w:t>
            </w:r>
          </w:p>
        </w:tc>
      </w:tr>
      <w:tr>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TS</w:t>
            </w:r>
          </w:p>
        </w:tc>
        <w:tc>
          <w:tcPr>
            <w:tcW w:type="dxa" w:w="23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Trial Summary</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Trial Design</w:t>
            </w:r>
          </w:p>
        </w:tc>
        <w:tc>
          <w:tcPr>
            <w:tcW w:type="dxa" w:w="35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Study-level metadata: design, species, route, timing, compliance</w:t>
            </w:r>
          </w:p>
        </w:tc>
      </w:tr>
      <w:tr>
        <w:tc>
          <w:tcPr>
            <w:tcW w:type="dxa" w:w="11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b/>
                <w:bCs/>
                <w:sz w:val="18"/>
                <w:szCs w:val="18"/>
              </w:rPr>
              <w:t xml:space="preserve">DM</w:t>
            </w:r>
          </w:p>
        </w:tc>
        <w:tc>
          <w:tcPr>
            <w:tcW w:type="dxa" w:w="23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18"/>
                <w:szCs w:val="18"/>
              </w:rPr>
              <w:t xml:space="preserve">Demographics</w:t>
            </w:r>
          </w:p>
        </w:tc>
        <w:tc>
          <w:tcPr>
            <w:tcW w:type="dxa" w:w="24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18"/>
                <w:szCs w:val="18"/>
              </w:rPr>
              <w:t xml:space="preserve">Special Purpose</w:t>
            </w:r>
          </w:p>
        </w:tc>
        <w:tc>
          <w:tcPr>
            <w:tcW w:type="dxa" w:w="35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18"/>
                <w:szCs w:val="18"/>
              </w:rPr>
              <w:t xml:space="preserve">One record per well/tissue. SPECIES=HUMAN, STRAIN empty for hiPSC-CM.</w:t>
            </w:r>
          </w:p>
        </w:tc>
      </w:tr>
      <w:tr>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SE</w:t>
            </w:r>
          </w:p>
        </w:tc>
        <w:tc>
          <w:tcPr>
            <w:tcW w:type="dxa" w:w="23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Subject Elements</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Special Purpose</w:t>
            </w:r>
          </w:p>
        </w:tc>
        <w:tc>
          <w:tcPr>
            <w:tcW w:type="dxa" w:w="35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Actual trial element experience per subject</w:t>
            </w:r>
          </w:p>
        </w:tc>
      </w:tr>
      <w:tr>
        <w:tc>
          <w:tcPr>
            <w:tcW w:type="dxa" w:w="11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b/>
                <w:bCs/>
                <w:sz w:val="18"/>
                <w:szCs w:val="18"/>
              </w:rPr>
              <w:t xml:space="preserve">TA</w:t>
            </w:r>
          </w:p>
        </w:tc>
        <w:tc>
          <w:tcPr>
            <w:tcW w:type="dxa" w:w="23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18"/>
                <w:szCs w:val="18"/>
              </w:rPr>
              <w:t xml:space="preserve">Trial Arms</w:t>
            </w:r>
          </w:p>
        </w:tc>
        <w:tc>
          <w:tcPr>
            <w:tcW w:type="dxa" w:w="24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18"/>
                <w:szCs w:val="18"/>
              </w:rPr>
              <w:t xml:space="preserve">Trial Design</w:t>
            </w:r>
          </w:p>
        </w:tc>
        <w:tc>
          <w:tcPr>
            <w:tcW w:type="dxa" w:w="35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18"/>
                <w:szCs w:val="18"/>
              </w:rPr>
              <w:t xml:space="preserve">Planned arm structure (one arm per compound)</w:t>
            </w:r>
          </w:p>
        </w:tc>
      </w:tr>
      <w:tr>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TE</w:t>
            </w:r>
          </w:p>
        </w:tc>
        <w:tc>
          <w:tcPr>
            <w:tcW w:type="dxa" w:w="23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Trial Elements</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Trial Design</w:t>
            </w:r>
          </w:p>
        </w:tc>
        <w:tc>
          <w:tcPr>
            <w:tcW w:type="dxa" w:w="35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Planned element definitions (treatment period)</w:t>
            </w:r>
          </w:p>
        </w:tc>
      </w:tr>
      <w:tr>
        <w:tc>
          <w:tcPr>
            <w:tcW w:type="dxa" w:w="11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b/>
                <w:bCs/>
                <w:sz w:val="18"/>
                <w:szCs w:val="18"/>
              </w:rPr>
              <w:t xml:space="preserve">TX</w:t>
            </w:r>
          </w:p>
        </w:tc>
        <w:tc>
          <w:tcPr>
            <w:tcW w:type="dxa" w:w="23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18"/>
                <w:szCs w:val="18"/>
              </w:rPr>
              <w:t xml:space="preserve">Trial Sets</w:t>
            </w:r>
          </w:p>
        </w:tc>
        <w:tc>
          <w:tcPr>
            <w:tcW w:type="dxa" w:w="24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18"/>
                <w:szCs w:val="18"/>
              </w:rPr>
              <w:t xml:space="preserve">Trial Design</w:t>
            </w:r>
          </w:p>
        </w:tc>
        <w:tc>
          <w:tcPr>
            <w:tcW w:type="dxa" w:w="35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18"/>
                <w:szCs w:val="18"/>
              </w:rPr>
              <w:t xml:space="preserve">Treatment group parameters: dose, unit, route per compound</w:t>
            </w:r>
          </w:p>
        </w:tc>
      </w:tr>
      <w:tr>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EX</w:t>
            </w:r>
          </w:p>
        </w:tc>
        <w:tc>
          <w:tcPr>
            <w:tcW w:type="dxa" w:w="23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Exposure</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Interventions</w:t>
            </w:r>
          </w:p>
        </w:tc>
        <w:tc>
          <w:tcPr>
            <w:tcW w:type="dxa" w:w="35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Drug application events with concentrations and timing</w:t>
            </w:r>
          </w:p>
        </w:tc>
      </w:tr>
      <w:tr>
        <w:tc>
          <w:tcPr>
            <w:tcW w:type="dxa" w:w="11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b/>
                <w:bCs/>
                <w:sz w:val="18"/>
                <w:szCs w:val="18"/>
              </w:rPr>
              <w:t xml:space="preserve">EG</w:t>
            </w:r>
          </w:p>
        </w:tc>
        <w:tc>
          <w:tcPr>
            <w:tcW w:type="dxa" w:w="23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18"/>
                <w:szCs w:val="18"/>
              </w:rPr>
              <w:t xml:space="preserve">ECG Test Results</w:t>
            </w:r>
          </w:p>
        </w:tc>
        <w:tc>
          <w:tcPr>
            <w:tcW w:type="dxa" w:w="24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18"/>
                <w:szCs w:val="18"/>
              </w:rPr>
              <w:t xml:space="preserve">Findings</w:t>
            </w:r>
          </w:p>
        </w:tc>
        <w:tc>
          <w:tcPr>
            <w:tcW w:type="dxa" w:w="35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18"/>
                <w:szCs w:val="18"/>
              </w:rPr>
              <w:t xml:space="preserve">Primary electrophysiology measurements (FPD, FPDcF, BP, etc.)</w:t>
            </w:r>
          </w:p>
        </w:tc>
      </w:tr>
      <w:tr>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SUPPEG</w:t>
            </w:r>
          </w:p>
        </w:tc>
        <w:tc>
          <w:tcPr>
            <w:tcW w:type="dxa" w:w="23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Suppl. Qualifiers for EG</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Findings (Suppl.)</w:t>
            </w:r>
          </w:p>
        </w:tc>
        <w:tc>
          <w:tcPr>
            <w:tcW w:type="dxa" w:w="35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Derived scores, % changes, quality metrics</w:t>
            </w:r>
          </w:p>
        </w:tc>
      </w:tr>
      <w:tr>
        <w:tc>
          <w:tcPr>
            <w:tcW w:type="dxa" w:w="11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b/>
                <w:bCs/>
                <w:sz w:val="18"/>
                <w:szCs w:val="18"/>
              </w:rPr>
              <w:t xml:space="preserve">DS</w:t>
            </w:r>
          </w:p>
        </w:tc>
        <w:tc>
          <w:tcPr>
            <w:tcW w:type="dxa" w:w="23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18"/>
                <w:szCs w:val="18"/>
              </w:rPr>
              <w:t xml:space="preserve">Disposition</w:t>
            </w:r>
          </w:p>
        </w:tc>
        <w:tc>
          <w:tcPr>
            <w:tcW w:type="dxa" w:w="24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18"/>
                <w:szCs w:val="18"/>
              </w:rPr>
              <w:t xml:space="preserve">Events</w:t>
            </w:r>
          </w:p>
        </w:tc>
        <w:tc>
          <w:tcPr>
            <w:tcW w:type="dxa" w:w="35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18"/>
                <w:szCs w:val="18"/>
              </w:rPr>
              <w:t xml:space="preserve">Subject disposition (completed/terminated)</w:t>
            </w:r>
          </w:p>
        </w:tc>
      </w:tr>
    </w:tbl>
    <w:p>
      <w:pPr>
        <w:pStyle w:val="Heading2"/>
        <w:spacing w:after="150" w:before="300"/>
      </w:pPr>
      <w:r>
        <w:rPr>
          <w:rFonts w:ascii="Arial" w:cs="Arial" w:eastAsia="Arial" w:hAnsi="Arial"/>
        </w:rPr>
        <w:t xml:space="preserve">4.1 EG / SUPPEG Split Logic</w:t>
      </w:r>
    </w:p>
    <w:p>
      <w:pPr>
        <w:spacing w:after="120"/>
      </w:pPr>
      <w:r>
        <w:rPr>
          <w:rFonts w:ascii="Arial" w:cs="Arial" w:eastAsia="Arial" w:hAnsi="Arial"/>
          <w:sz w:val="20"/>
          <w:szCs w:val="20"/>
        </w:rPr>
        <w:t xml:space="preserve">Primary electrophysiology measurements with standard units (ms, uV, beats/min) remain in eg.xpt. Derived scores (dimensionless), quality metrics, and percent-change endpoints are placed in suppeg.xpt as Supplemental Qualifiers. This separation reduces CT2002 warnings and follows CDISC best practice for non-standard variables.</w:t>
      </w:r>
    </w:p>
    <w:p>
      <w:pPr>
        <w:pStyle w:val="Heading2"/>
        <w:spacing w:after="150" w:before="300"/>
      </w:pPr>
      <w:r>
        <w:rPr>
          <w:rFonts w:ascii="Arial" w:cs="Arial" w:eastAsia="Arial" w:hAnsi="Arial"/>
        </w:rPr>
        <w:t xml:space="preserve">4.2 Endpoint Catalog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500"/>
        <w:gridCol w:w="1200"/>
        <w:gridCol w:w="1800"/>
        <w:gridCol w:w="2560"/>
      </w:tblGrid>
      <w:tr>
        <w:tc>
          <w:tcPr>
            <w:tcW w:type="dxa" w:w="13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18"/>
                <w:szCs w:val="18"/>
              </w:rPr>
              <w:t xml:space="preserve">EGTESTCD</w:t>
            </w:r>
          </w:p>
        </w:tc>
        <w:tc>
          <w:tcPr>
            <w:tcW w:type="dxa" w:w="25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18"/>
                <w:szCs w:val="18"/>
              </w:rPr>
              <w:t xml:space="preserve">EGTEST</w:t>
            </w:r>
          </w:p>
        </w:tc>
        <w:tc>
          <w:tcPr>
            <w:tcW w:type="dxa" w:w="12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18"/>
                <w:szCs w:val="18"/>
              </w:rPr>
              <w:t xml:space="preserve">Unit</w:t>
            </w:r>
          </w:p>
        </w:tc>
        <w:tc>
          <w:tcPr>
            <w:tcW w:type="dxa" w:w="18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18"/>
                <w:szCs w:val="18"/>
              </w:rPr>
              <w:t xml:space="preserve">Domain</w:t>
            </w:r>
          </w:p>
        </w:tc>
        <w:tc>
          <w:tcPr>
            <w:tcW w:type="dxa" w:w="256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18"/>
                <w:szCs w:val="18"/>
              </w:rPr>
              <w:t xml:space="preserve">Description</w:t>
            </w:r>
          </w:p>
        </w:tc>
      </w:tr>
      <w:tr>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7"/>
                <w:szCs w:val="17"/>
              </w:rPr>
              <w:t xml:space="preserve">FPD</w:t>
            </w:r>
          </w:p>
        </w:tc>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FPD</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ms</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eg.xpt</w:t>
            </w:r>
          </w:p>
        </w:tc>
        <w:tc>
          <w:tcPr>
            <w:tcW w:type="dxa" w:w="25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Field Potential Duration (analog of QT)</w:t>
            </w:r>
          </w:p>
        </w:tc>
      </w:tr>
      <w:tr>
        <w:tc>
          <w:tcPr>
            <w:tcW w:type="dxa" w:w="13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Consolas" w:cs="Consolas" w:eastAsia="Consolas" w:hAnsi="Consolas"/>
                <w:sz w:val="17"/>
                <w:szCs w:val="17"/>
              </w:rPr>
              <w:t xml:space="preserve">FPDCF</w:t>
            </w:r>
          </w:p>
        </w:tc>
        <w:tc>
          <w:tcPr>
            <w:tcW w:type="dxa" w:w="25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18"/>
                <w:szCs w:val="18"/>
              </w:rPr>
              <w:t xml:space="preserve">FPDcF</w:t>
            </w:r>
          </w:p>
        </w:tc>
        <w:tc>
          <w:tcPr>
            <w:tcW w:type="dxa" w:w="1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18"/>
                <w:szCs w:val="18"/>
              </w:rPr>
              <w:t xml:space="preserve">ms</w:t>
            </w:r>
          </w:p>
        </w:tc>
        <w:tc>
          <w:tcPr>
            <w:tcW w:type="dxa" w:w="1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b/>
                <w:bCs/>
                <w:sz w:val="18"/>
                <w:szCs w:val="18"/>
              </w:rPr>
              <w:t xml:space="preserve">eg.xpt</w:t>
            </w:r>
          </w:p>
        </w:tc>
        <w:tc>
          <w:tcPr>
            <w:tcW w:type="dxa" w:w="25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18"/>
                <w:szCs w:val="18"/>
              </w:rPr>
              <w:t xml:space="preserve">FPD corrected by Fridericia (analog of QTcF)</w:t>
            </w:r>
          </w:p>
        </w:tc>
      </w:tr>
      <w:tr>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7"/>
                <w:szCs w:val="17"/>
              </w:rPr>
              <w:t xml:space="preserve">BP</w:t>
            </w:r>
          </w:p>
        </w:tc>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Beat Period</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ms</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eg.xpt</w:t>
            </w:r>
          </w:p>
        </w:tc>
        <w:tc>
          <w:tcPr>
            <w:tcW w:type="dxa" w:w="25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Inter-beat interval (analog of RR interval)</w:t>
            </w:r>
          </w:p>
        </w:tc>
      </w:tr>
      <w:tr>
        <w:tc>
          <w:tcPr>
            <w:tcW w:type="dxa" w:w="13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Consolas" w:cs="Consolas" w:eastAsia="Consolas" w:hAnsi="Consolas"/>
                <w:sz w:val="17"/>
                <w:szCs w:val="17"/>
              </w:rPr>
              <w:t xml:space="preserve">INTVL</w:t>
            </w:r>
          </w:p>
        </w:tc>
        <w:tc>
          <w:tcPr>
            <w:tcW w:type="dxa" w:w="25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18"/>
                <w:szCs w:val="18"/>
              </w:rPr>
              <w:t xml:space="preserve">Heart Rate</w:t>
            </w:r>
          </w:p>
        </w:tc>
        <w:tc>
          <w:tcPr>
            <w:tcW w:type="dxa" w:w="1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18"/>
                <w:szCs w:val="18"/>
              </w:rPr>
              <w:t xml:space="preserve">beats/min</w:t>
            </w:r>
          </w:p>
        </w:tc>
        <w:tc>
          <w:tcPr>
            <w:tcW w:type="dxa" w:w="1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b/>
                <w:bCs/>
                <w:sz w:val="18"/>
                <w:szCs w:val="18"/>
              </w:rPr>
              <w:t xml:space="preserve">eg.xpt</w:t>
            </w:r>
          </w:p>
        </w:tc>
        <w:tc>
          <w:tcPr>
            <w:tcW w:type="dxa" w:w="25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18"/>
                <w:szCs w:val="18"/>
              </w:rPr>
              <w:t xml:space="preserve">Derived from Beat Period</w:t>
            </w:r>
          </w:p>
        </w:tc>
      </w:tr>
      <w:tr>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7"/>
                <w:szCs w:val="17"/>
              </w:rPr>
              <w:t xml:space="preserve">SPIKEAM</w:t>
            </w:r>
          </w:p>
        </w:tc>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Spike Amplitude</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uV</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eg.xpt</w:t>
            </w:r>
          </w:p>
        </w:tc>
        <w:tc>
          <w:tcPr>
            <w:tcW w:type="dxa" w:w="25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Na+ channel depolarization spike amplitude</w:t>
            </w:r>
          </w:p>
        </w:tc>
      </w:tr>
      <w:tr>
        <w:tc>
          <w:tcPr>
            <w:tcW w:type="dxa" w:w="13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Consolas" w:cs="Consolas" w:eastAsia="Consolas" w:hAnsi="Consolas"/>
                <w:sz w:val="17"/>
                <w:szCs w:val="17"/>
              </w:rPr>
              <w:t xml:space="preserve">STVFPDC</w:t>
            </w:r>
          </w:p>
        </w:tc>
        <w:tc>
          <w:tcPr>
            <w:tcW w:type="dxa" w:w="25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18"/>
                <w:szCs w:val="18"/>
              </w:rPr>
              <w:t xml:space="preserve">STV of FPDcF</w:t>
            </w:r>
          </w:p>
        </w:tc>
        <w:tc>
          <w:tcPr>
            <w:tcW w:type="dxa" w:w="1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18"/>
                <w:szCs w:val="18"/>
              </w:rPr>
              <w:t xml:space="preserve">ms</w:t>
            </w:r>
          </w:p>
        </w:tc>
        <w:tc>
          <w:tcPr>
            <w:tcW w:type="dxa" w:w="1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b/>
                <w:bCs/>
                <w:sz w:val="18"/>
                <w:szCs w:val="18"/>
              </w:rPr>
              <w:t xml:space="preserve">eg.xpt</w:t>
            </w:r>
          </w:p>
        </w:tc>
        <w:tc>
          <w:tcPr>
            <w:tcW w:type="dxa" w:w="25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18"/>
                <w:szCs w:val="18"/>
              </w:rPr>
              <w:t xml:space="preserve">Short-term variability of corrected FPD</w:t>
            </w:r>
          </w:p>
        </w:tc>
      </w:tr>
      <w:tr>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7"/>
                <w:szCs w:val="17"/>
              </w:rPr>
              <w:t xml:space="preserve">FPDCFPC</w:t>
            </w:r>
          </w:p>
        </w:tc>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FPDcF Pct Change</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suppeg.xpt</w:t>
            </w:r>
          </w:p>
        </w:tc>
        <w:tc>
          <w:tcPr>
            <w:tcW w:type="dxa" w:w="25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 change from baseline</w:t>
            </w:r>
          </w:p>
        </w:tc>
      </w:tr>
      <w:tr>
        <w:tc>
          <w:tcPr>
            <w:tcW w:type="dxa" w:w="13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Consolas" w:cs="Consolas" w:eastAsia="Consolas" w:hAnsi="Consolas"/>
                <w:sz w:val="17"/>
                <w:szCs w:val="17"/>
              </w:rPr>
              <w:t xml:space="preserve">BPPCT</w:t>
            </w:r>
          </w:p>
        </w:tc>
        <w:tc>
          <w:tcPr>
            <w:tcW w:type="dxa" w:w="25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18"/>
                <w:szCs w:val="18"/>
              </w:rPr>
              <w:t xml:space="preserve">Beat Period Pct Change</w:t>
            </w:r>
          </w:p>
        </w:tc>
        <w:tc>
          <w:tcPr>
            <w:tcW w:type="dxa" w:w="1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18"/>
                <w:szCs w:val="18"/>
              </w:rPr>
              <w:t xml:space="preserve">%</w:t>
            </w:r>
          </w:p>
        </w:tc>
        <w:tc>
          <w:tcPr>
            <w:tcW w:type="dxa" w:w="1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b/>
                <w:bCs/>
                <w:sz w:val="18"/>
                <w:szCs w:val="18"/>
              </w:rPr>
              <w:t xml:space="preserve">suppeg.xpt</w:t>
            </w:r>
          </w:p>
        </w:tc>
        <w:tc>
          <w:tcPr>
            <w:tcW w:type="dxa" w:w="25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18"/>
                <w:szCs w:val="18"/>
              </w:rPr>
              <w:t xml:space="preserve">% change from baseline</w:t>
            </w:r>
          </w:p>
        </w:tc>
      </w:tr>
      <w:tr>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7"/>
                <w:szCs w:val="17"/>
              </w:rPr>
              <w:t xml:space="preserve">TDPSCR</w:t>
            </w:r>
          </w:p>
        </w:tc>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TdP Risk Score</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(dimensionless)</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suppeg.xpt</w:t>
            </w:r>
          </w:p>
        </w:tc>
        <w:tc>
          <w:tcPr>
            <w:tcW w:type="dxa" w:w="25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Composite Torsades de Pointes risk score</w:t>
            </w:r>
          </w:p>
        </w:tc>
      </w:tr>
      <w:tr>
        <w:tc>
          <w:tcPr>
            <w:tcW w:type="dxa" w:w="13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Consolas" w:cs="Consolas" w:eastAsia="Consolas" w:hAnsi="Consolas"/>
                <w:sz w:val="17"/>
                <w:szCs w:val="17"/>
              </w:rPr>
              <w:t xml:space="preserve">RSKSCR</w:t>
            </w:r>
          </w:p>
        </w:tc>
        <w:tc>
          <w:tcPr>
            <w:tcW w:type="dxa" w:w="25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18"/>
                <w:szCs w:val="18"/>
              </w:rPr>
              <w:t xml:space="preserve">Arrhythmia Risk Score</w:t>
            </w:r>
          </w:p>
        </w:tc>
        <w:tc>
          <w:tcPr>
            <w:tcW w:type="dxa" w:w="1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18"/>
                <w:szCs w:val="18"/>
              </w:rPr>
              <w:t xml:space="preserve">(dimensionless)</w:t>
            </w:r>
          </w:p>
        </w:tc>
        <w:tc>
          <w:tcPr>
            <w:tcW w:type="dxa" w:w="1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b/>
                <w:bCs/>
                <w:sz w:val="18"/>
                <w:szCs w:val="18"/>
              </w:rPr>
              <w:t xml:space="preserve">suppeg.xpt</w:t>
            </w:r>
          </w:p>
        </w:tc>
        <w:tc>
          <w:tcPr>
            <w:tcW w:type="dxa" w:w="25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18"/>
                <w:szCs w:val="18"/>
              </w:rPr>
              <w:t xml:space="preserve">General arrhythmia risk assessment</w:t>
            </w:r>
          </w:p>
        </w:tc>
      </w:tr>
      <w:tr>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7"/>
                <w:szCs w:val="17"/>
              </w:rPr>
              <w:t xml:space="preserve">QCGRADE</w:t>
            </w:r>
          </w:p>
        </w:tc>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QC Grade</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(character)</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suppeg.xpt</w:t>
            </w:r>
          </w:p>
        </w:tc>
        <w:tc>
          <w:tcPr>
            <w:tcW w:type="dxa" w:w="25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Quality control grade (A/B/C/D)</w:t>
            </w:r>
          </w:p>
        </w:tc>
      </w:tr>
    </w:tbl>
    <w:r>
      <w:br w:type="page"/>
    </w:r>
    <w:p>
      <w:pPr>
        <w:pStyle w:val="Heading1"/>
        <w:spacing w:after="150" w:before="300"/>
      </w:pPr>
      <w:r>
        <w:rPr>
          <w:rFonts w:ascii="Arial" w:cs="Arial" w:eastAsia="Arial" w:hAnsi="Arial"/>
        </w:rPr>
        <w:t xml:space="preserve">5. Trial Summary Parameters (TS)</w:t>
      </w:r>
    </w:p>
    <w:p>
      <w:pPr>
        <w:spacing w:after="120"/>
      </w:pPr>
      <w:r>
        <w:rPr>
          <w:rFonts w:ascii="Arial" w:cs="Arial" w:eastAsia="Arial" w:hAnsi="Arial"/>
          <w:sz w:val="20"/>
          <w:szCs w:val="20"/>
        </w:rPr>
        <w:t xml:space="preserve">All TSPARMCD and TSPARM values must match exactly the NCI Controlled Terminology. The TSPARM label is NOT from the SENDIG spec tables; it comes from the SEND Terminology file (SEND Trial Summary Parameter Test Name codelist). Mismatches trigger CT2003 errors.</w:t>
      </w:r>
    </w:p>
    <w:p>
      <w:pPr>
        <w:pStyle w:val="Heading2"/>
        <w:spacing w:after="150" w:before="300"/>
      </w:pPr>
      <w:r>
        <w:rPr>
          <w:rFonts w:ascii="Arial" w:cs="Arial" w:eastAsia="Arial" w:hAnsi="Arial"/>
        </w:rPr>
        <w:t xml:space="preserve">5.1 Key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800"/>
        <w:gridCol w:w="2400"/>
        <w:gridCol w:w="2760"/>
      </w:tblGrid>
      <w:tr>
        <w:tc>
          <w:tcPr>
            <w:tcW w:type="dxa" w:w="14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18"/>
                <w:szCs w:val="18"/>
              </w:rPr>
              <w:t xml:space="preserve">TSPARMCD</w:t>
            </w:r>
          </w:p>
        </w:tc>
        <w:tc>
          <w:tcPr>
            <w:tcW w:type="dxa" w:w="28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18"/>
                <w:szCs w:val="18"/>
              </w:rPr>
              <w:t xml:space="preserve">TSPARM (NCI CT)</w:t>
            </w:r>
          </w:p>
        </w:tc>
        <w:tc>
          <w:tcPr>
            <w:tcW w:type="dxa" w:w="24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18"/>
                <w:szCs w:val="18"/>
              </w:rPr>
              <w:t xml:space="preserve">Example Value</w:t>
            </w:r>
          </w:p>
        </w:tc>
        <w:tc>
          <w:tcPr>
            <w:tcW w:type="dxa" w:w="276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18"/>
                <w:szCs w:val="18"/>
              </w:rPr>
              <w:t xml:space="preserve">Notes</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7"/>
                <w:szCs w:val="17"/>
              </w:rPr>
              <w:t xml:space="preserve">SSTYP</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Study Type</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CARDIOVASCULAR PHARMACOLOGY</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From NCI CT SEND Study Type codelist</w:t>
            </w:r>
          </w:p>
        </w:tc>
      </w:tr>
      <w:tr>
        <w:tc>
          <w:tcPr>
            <w:tcW w:type="dxa" w:w="14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Consolas" w:cs="Consolas" w:eastAsia="Consolas" w:hAnsi="Consolas"/>
                <w:sz w:val="17"/>
                <w:szCs w:val="17"/>
              </w:rPr>
              <w:t xml:space="preserve">SDESIGN</w:t>
            </w:r>
          </w:p>
        </w:tc>
        <w:tc>
          <w:tcPr>
            <w:tcW w:type="dxa" w:w="2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18"/>
                <w:szCs w:val="18"/>
              </w:rPr>
              <w:t xml:space="preserve">Study Design</w:t>
            </w:r>
          </w:p>
        </w:tc>
        <w:tc>
          <w:tcPr>
            <w:tcW w:type="dxa" w:w="24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18"/>
                <w:szCs w:val="18"/>
              </w:rPr>
              <w:t xml:space="preserve">PARALLEL</w:t>
            </w:r>
          </w:p>
        </w:tc>
        <w:tc>
          <w:tcPr>
            <w:tcW w:type="dxa" w:w="27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18"/>
                <w:szCs w:val="18"/>
              </w:rPr>
              <w:t xml:space="preserve">See Study Design table for options</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7"/>
                <w:szCs w:val="17"/>
              </w:rPr>
              <w:t xml:space="preserve">STCAT</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Study Category</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SP</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SP = Safety Pharmacology (NCI CT code)</w:t>
            </w:r>
          </w:p>
        </w:tc>
      </w:tr>
      <w:tr>
        <w:tc>
          <w:tcPr>
            <w:tcW w:type="dxa" w:w="14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Consolas" w:cs="Consolas" w:eastAsia="Consolas" w:hAnsi="Consolas"/>
                <w:sz w:val="17"/>
                <w:szCs w:val="17"/>
              </w:rPr>
              <w:t xml:space="preserve">SPECIES</w:t>
            </w:r>
          </w:p>
        </w:tc>
        <w:tc>
          <w:tcPr>
            <w:tcW w:type="dxa" w:w="2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18"/>
                <w:szCs w:val="18"/>
              </w:rPr>
              <w:t xml:space="preserve">Species</w:t>
            </w:r>
          </w:p>
        </w:tc>
        <w:tc>
          <w:tcPr>
            <w:tcW w:type="dxa" w:w="24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18"/>
                <w:szCs w:val="18"/>
              </w:rPr>
              <w:t xml:space="preserve">HUMAN</w:t>
            </w:r>
          </w:p>
        </w:tc>
        <w:tc>
          <w:tcPr>
            <w:tcW w:type="dxa" w:w="27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18"/>
                <w:szCs w:val="18"/>
              </w:rPr>
              <w:t xml:space="preserve">hiPSC-CM are human-derived</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7"/>
                <w:szCs w:val="17"/>
              </w:rPr>
              <w:t xml:space="preserve">ROUTE</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Route of Administration</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TOPICAL</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Drug applied to tissue surface in culture medium</w:t>
            </w:r>
          </w:p>
        </w:tc>
      </w:tr>
      <w:tr>
        <w:tc>
          <w:tcPr>
            <w:tcW w:type="dxa" w:w="14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Consolas" w:cs="Consolas" w:eastAsia="Consolas" w:hAnsi="Consolas"/>
                <w:sz w:val="17"/>
                <w:szCs w:val="17"/>
              </w:rPr>
              <w:t xml:space="preserve">PCLASS</w:t>
            </w:r>
          </w:p>
        </w:tc>
        <w:tc>
          <w:tcPr>
            <w:tcW w:type="dxa" w:w="2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18"/>
                <w:szCs w:val="18"/>
              </w:rPr>
              <w:t xml:space="preserve">Pharmacologic Class</w:t>
            </w:r>
          </w:p>
        </w:tc>
        <w:tc>
          <w:tcPr>
            <w:tcW w:type="dxa" w:w="24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18"/>
                <w:szCs w:val="18"/>
              </w:rPr>
              <w:t xml:space="preserve">ION CHANNEL MODULATORS</w:t>
            </w:r>
          </w:p>
        </w:tc>
        <w:tc>
          <w:tcPr>
            <w:tcW w:type="dxa" w:w="27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18"/>
                <w:szCs w:val="18"/>
              </w:rPr>
              <w:t xml:space="preserve">NB: code is PCLASS not PCLAS</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7"/>
                <w:szCs w:val="17"/>
              </w:rPr>
              <w:t xml:space="preserve">SNDIGVER</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SEND Implementation Guide Version</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SEND IMPLEMENTATION GUIDE VERSION 3.1.1</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Must use full codelist value, not just 3.1.1</w:t>
            </w:r>
          </w:p>
        </w:tc>
      </w:tr>
      <w:tr>
        <w:tc>
          <w:tcPr>
            <w:tcW w:type="dxa" w:w="14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Consolas" w:cs="Consolas" w:eastAsia="Consolas" w:hAnsi="Consolas"/>
                <w:sz w:val="17"/>
                <w:szCs w:val="17"/>
              </w:rPr>
              <w:t xml:space="preserve">PDOSFRQ</w:t>
            </w:r>
          </w:p>
        </w:tc>
        <w:tc>
          <w:tcPr>
            <w:tcW w:type="dxa" w:w="2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18"/>
                <w:szCs w:val="18"/>
              </w:rPr>
              <w:t xml:space="preserve">Planned Dose Frequency</w:t>
            </w:r>
          </w:p>
        </w:tc>
        <w:tc>
          <w:tcPr>
            <w:tcW w:type="dxa" w:w="24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18"/>
                <w:szCs w:val="18"/>
              </w:rPr>
              <w:t xml:space="preserve">ONCE</w:t>
            </w:r>
          </w:p>
        </w:tc>
        <w:tc>
          <w:tcPr>
            <w:tcW w:type="dxa" w:w="27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18"/>
                <w:szCs w:val="18"/>
              </w:rPr>
              <w:t xml:space="preserve">Single application per well (ONCE, QD, CONTINUOUS)</w:t>
            </w:r>
          </w:p>
        </w:tc>
      </w:tr>
    </w:tbl>
    <w:p>
      <w:pPr>
        <w:pStyle w:val="Heading2"/>
        <w:spacing w:after="150" w:before="300"/>
      </w:pPr>
      <w:r>
        <w:rPr>
          <w:rFonts w:ascii="Arial" w:cs="Arial" w:eastAsia="Arial" w:hAnsi="Arial"/>
        </w:rPr>
        <w:t xml:space="preserve">5.2 Critical Lessons Learned</w:t>
      </w:r>
    </w:p>
    <w:p>
      <w:pPr>
        <w:spacing w:after="120"/>
      </w:pPr>
      <w:r>
        <w:rPr>
          <w:rFonts w:ascii="Arial" w:cs="Arial" w:eastAsia="Arial" w:hAnsi="Arial"/>
          <w:b/>
          <w:bCs/>
          <w:sz w:val="20"/>
          <w:szCs w:val="20"/>
        </w:rPr>
        <w:t xml:space="preserve">PCLASS not PCLAS: </w:t>
      </w:r>
      <w:r>
        <w:rPr>
          <w:rFonts w:ascii="Arial" w:cs="Arial" w:eastAsia="Arial" w:hAnsi="Arial"/>
          <w:sz w:val="20"/>
          <w:szCs w:val="20"/>
        </w:rPr>
        <w:t xml:space="preserve">The correct TSPARMCD is PCLASS (not PCLAS). PCLAS does not exist in NCI CT.</w:t>
      </w:r>
    </w:p>
    <w:p>
      <w:pPr>
        <w:spacing w:after="120"/>
      </w:pPr>
      <w:r>
        <w:rPr>
          <w:rFonts w:ascii="Arial" w:cs="Arial" w:eastAsia="Arial" w:hAnsi="Arial"/>
          <w:b/>
          <w:bCs/>
          <w:sz w:val="20"/>
          <w:szCs w:val="20"/>
        </w:rPr>
        <w:t xml:space="preserve">SNDIGVER full value: </w:t>
      </w:r>
      <w:r>
        <w:rPr>
          <w:rFonts w:ascii="Arial" w:cs="Arial" w:eastAsia="Arial" w:hAnsi="Arial"/>
          <w:sz w:val="20"/>
          <w:szCs w:val="20"/>
        </w:rPr>
        <w:t xml:space="preserve">Must use the full codelist value (e.g., SEND IMPLEMENTATION GUIDE VERSION 3.1.1), not just the version number.</w:t>
      </w:r>
    </w:p>
    <w:p>
      <w:pPr>
        <w:spacing w:after="120"/>
      </w:pPr>
      <w:r>
        <w:rPr>
          <w:rFonts w:ascii="Arial" w:cs="Arial" w:eastAsia="Arial" w:hAnsi="Arial"/>
          <w:b/>
          <w:bCs/>
          <w:sz w:val="20"/>
          <w:szCs w:val="20"/>
        </w:rPr>
        <w:t xml:space="preserve">STCAT uses code: </w:t>
      </w:r>
      <w:r>
        <w:rPr>
          <w:rFonts w:ascii="Arial" w:cs="Arial" w:eastAsia="Arial" w:hAnsi="Arial"/>
          <w:sz w:val="20"/>
          <w:szCs w:val="20"/>
        </w:rPr>
        <w:t xml:space="preserve">Study Category uses the short code (SP) not the full text (SAFETY PHARMACOLOGY).</w:t>
      </w:r>
    </w:p>
    <w:p>
      <w:pPr>
        <w:spacing w:after="120"/>
      </w:pPr>
      <w:r>
        <w:rPr>
          <w:rFonts w:ascii="Arial" w:cs="Arial" w:eastAsia="Arial" w:hAnsi="Arial"/>
          <w:b/>
          <w:bCs/>
          <w:sz w:val="20"/>
          <w:szCs w:val="20"/>
        </w:rPr>
        <w:t xml:space="preserve">STRAIN empty for HUMAN: </w:t>
      </w:r>
      <w:r>
        <w:rPr>
          <w:rFonts w:ascii="Arial" w:cs="Arial" w:eastAsia="Arial" w:hAnsi="Arial"/>
          <w:sz w:val="20"/>
          <w:szCs w:val="20"/>
        </w:rPr>
        <w:t xml:space="preserve">STRAIN must be empty (TSVALNF=NA) for SPECIES=HUMAN. hiPSC-CM is not a recognized strain in NCI CT.</w:t>
      </w:r>
    </w:p>
    <w:p>
      <w:pPr>
        <w:spacing w:after="120"/>
      </w:pPr>
      <w:r>
        <w:rPr>
          <w:rFonts w:ascii="Arial" w:cs="Arial" w:eastAsia="Arial" w:hAnsi="Arial"/>
          <w:b/>
          <w:bCs/>
          <w:sz w:val="20"/>
          <w:szCs w:val="20"/>
        </w:rPr>
        <w:t xml:space="preserve">Variable labels are domain-specific: </w:t>
      </w:r>
      <w:r>
        <w:rPr>
          <w:rFonts w:ascii="Arial" w:cs="Arial" w:eastAsia="Arial" w:hAnsi="Arial"/>
          <w:sz w:val="20"/>
          <w:szCs w:val="20"/>
        </w:rPr>
        <w:t xml:space="preserve">EG variable labels differ from the SDTM base model. Use labels from SENDIG v3.1.1, not SDTM. Example: EGORRES = 'Result or Findings as Collected' (not 'Result or Finding in Original Units').</w:t>
      </w:r>
    </w:p>
    <w:r>
      <w:br w:type="page"/>
    </w:r>
    <w:p>
      <w:pPr>
        <w:pStyle w:val="Heading1"/>
        <w:spacing w:after="150" w:before="300"/>
      </w:pPr>
      <w:r>
        <w:rPr>
          <w:rFonts w:ascii="Arial" w:cs="Arial" w:eastAsia="Arial" w:hAnsi="Arial"/>
        </w:rPr>
        <w:t xml:space="preserve">6. Software Configuration Options</w:t>
      </w:r>
    </w:p>
    <w:p>
      <w:pPr>
        <w:spacing w:after="120"/>
      </w:pPr>
      <w:r>
        <w:rPr>
          <w:rFonts w:ascii="Arial" w:cs="Arial" w:eastAsia="Arial" w:hAnsi="Arial"/>
          <w:sz w:val="20"/>
          <w:szCs w:val="20"/>
        </w:rPr>
        <w:t xml:space="preserve">The following parameters should be exposed as configurable options in the analysis software UI. Each maps to one or more CDISC SEND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18"/>
                <w:szCs w:val="18"/>
              </w:rPr>
              <w:t xml:space="preserve">Parameter</w:t>
            </w:r>
          </w:p>
        </w:tc>
        <w:tc>
          <w:tcPr>
            <w:tcW w:type="dxa" w:w="22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18"/>
                <w:szCs w:val="18"/>
              </w:rPr>
              <w:t xml:space="preserve">Type / Options</w:t>
            </w:r>
          </w:p>
        </w:tc>
        <w:tc>
          <w:tcPr>
            <w:tcW w:type="dxa" w:w="496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18"/>
                <w:szCs w:val="18"/>
              </w:rPr>
              <w:t xml:space="preserve">Description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Study Design</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Dropdown: PARALLEL, DOSE ESCALATION, CROSSOVER, SINGLE GROUP</w:t>
            </w:r>
          </w:p>
        </w:tc>
        <w:tc>
          <w:tcPr>
            <w:tcW w:type="dxa" w:w="4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Determines SDESIGN in TS. PARALLEL = different wells per compound. DOSE ESCALATION = cumulative dosing on same tissue.</w:t>
            </w:r>
          </w:p>
        </w:tc>
      </w:tr>
      <w:tr>
        <w:tc>
          <w:tcPr>
            <w:tcW w:type="dxa" w:w="2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b/>
                <w:bCs/>
                <w:sz w:val="18"/>
                <w:szCs w:val="18"/>
              </w:rPr>
              <w:t xml:space="preserve">FPD Correction Method</w:t>
            </w:r>
          </w:p>
        </w:tc>
        <w:tc>
          <w:tcPr>
            <w:tcW w:type="dxa" w:w="2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18"/>
                <w:szCs w:val="18"/>
              </w:rPr>
              <w:t xml:space="preserve">Dropdown: Fridericia, Bazett, Linear, Van de Water, None</w:t>
            </w:r>
          </w:p>
        </w:tc>
        <w:tc>
          <w:tcPr>
            <w:tcW w:type="dxa" w:w="49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18"/>
                <w:szCs w:val="18"/>
              </w:rPr>
              <w:t xml:space="preserve">Determines which FPDc/QTc formula is applied. Fridericia recommended by CiPA.</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Dosing Mode</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Dropdown: ONCE, QD, CONTINUOUS</w:t>
            </w:r>
          </w:p>
        </w:tc>
        <w:tc>
          <w:tcPr>
            <w:tcW w:type="dxa" w:w="4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Maps to PDOSFRQ in TS and EXDOSFRQ in EX domain.</w:t>
            </w:r>
          </w:p>
        </w:tc>
      </w:tr>
      <w:tr>
        <w:tc>
          <w:tcPr>
            <w:tcW w:type="dxa" w:w="2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b/>
                <w:bCs/>
                <w:sz w:val="18"/>
                <w:szCs w:val="18"/>
              </w:rPr>
              <w:t xml:space="preserve">Route of Administration</w:t>
            </w:r>
          </w:p>
        </w:tc>
        <w:tc>
          <w:tcPr>
            <w:tcW w:type="dxa" w:w="2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18"/>
                <w:szCs w:val="18"/>
              </w:rPr>
              <w:t xml:space="preserve">Dropdown: TOPICAL, IMMERSION, ...</w:t>
            </w:r>
          </w:p>
        </w:tc>
        <w:tc>
          <w:tcPr>
            <w:tcW w:type="dxa" w:w="49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18"/>
                <w:szCs w:val="18"/>
              </w:rPr>
              <w:t xml:space="preserve">Maps to ROUTE in TS and EXROUTE in EX. TOPICAL for standard MEA/culture.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Species</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Dropdown: HUMAN, RAT, MOUSE, DOG, GUINEA PIG, PIG, RABBIT</w:t>
            </w:r>
          </w:p>
        </w:tc>
        <w:tc>
          <w:tcPr>
            <w:tcW w:type="dxa" w:w="4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Maps to SPECIES in TS and DM. HUMAN for hiPSC-CM.</w:t>
            </w:r>
          </w:p>
        </w:tc>
      </w:tr>
      <w:tr>
        <w:tc>
          <w:tcPr>
            <w:tcW w:type="dxa" w:w="2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b/>
                <w:bCs/>
                <w:sz w:val="18"/>
                <w:szCs w:val="18"/>
              </w:rPr>
              <w:t xml:space="preserve">Study Type</w:t>
            </w:r>
          </w:p>
        </w:tc>
        <w:tc>
          <w:tcPr>
            <w:tcW w:type="dxa" w:w="2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18"/>
                <w:szCs w:val="18"/>
              </w:rPr>
              <w:t xml:space="preserve">Dropdown: CARDIOVASCULAR PHARMACOLOGY, PRIMARY PHARMACODYNAMICS, CNS PHARMACOLOGY, etc.</w:t>
            </w:r>
          </w:p>
        </w:tc>
        <w:tc>
          <w:tcPr>
            <w:tcW w:type="dxa" w:w="49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18"/>
                <w:szCs w:val="18"/>
              </w:rPr>
              <w:t xml:space="preserve">Maps to SSTYP in TS. Full list from NCI CT SEND Study Type codelist.</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GLP Compliance</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Checkbox: Yes/No</w:t>
            </w:r>
          </w:p>
        </w:tc>
        <w:tc>
          <w:tcPr>
            <w:tcW w:type="dxa" w:w="4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Maps to GLPFL (Y/N) in TS.</w:t>
            </w:r>
          </w:p>
        </w:tc>
      </w:tr>
      <w:tr>
        <w:tc>
          <w:tcPr>
            <w:tcW w:type="dxa" w:w="2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b/>
                <w:bCs/>
                <w:sz w:val="18"/>
                <w:szCs w:val="18"/>
              </w:rPr>
              <w:t xml:space="preserve">Dosage Form</w:t>
            </w:r>
          </w:p>
        </w:tc>
        <w:tc>
          <w:tcPr>
            <w:tcW w:type="dxa" w:w="2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18"/>
                <w:szCs w:val="18"/>
              </w:rPr>
              <w:t xml:space="preserve">Dropdown: SOLUTION, SUSPENSION, LIQUID</w:t>
            </w:r>
          </w:p>
        </w:tc>
        <w:tc>
          <w:tcPr>
            <w:tcW w:type="dxa" w:w="49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18"/>
                <w:szCs w:val="18"/>
              </w:rPr>
              <w:t xml:space="preserve">Maps to EXDOSFRM in EX. SOLUTION for typical compound dilution.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EGMETHOD</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Text or Dropdown: DERIVED, or standard ECG method from NCI CT</w:t>
            </w:r>
          </w:p>
        </w:tc>
        <w:tc>
          <w:tcPr>
            <w:tcW w:type="dxa" w:w="4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Currently DERIVED for algorithmically-extracted FP values. Standard ECG methods not applicable to MEA.</w:t>
            </w:r>
          </w:p>
        </w:tc>
      </w:tr>
      <w:tr>
        <w:tc>
          <w:tcPr>
            <w:tcW w:type="dxa" w:w="2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b/>
                <w:bCs/>
                <w:sz w:val="18"/>
                <w:szCs w:val="18"/>
              </w:rPr>
              <w:t xml:space="preserve">Lot Number</w:t>
            </w:r>
          </w:p>
        </w:tc>
        <w:tc>
          <w:tcPr>
            <w:tcW w:type="dxa" w:w="2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18"/>
                <w:szCs w:val="18"/>
              </w:rPr>
              <w:t xml:space="preserve">Text field</w:t>
            </w:r>
          </w:p>
        </w:tc>
        <w:tc>
          <w:tcPr>
            <w:tcW w:type="dxa" w:w="49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18"/>
                <w:szCs w:val="18"/>
              </w:rPr>
              <w:t xml:space="preserve">Maps to EXLOT in EX. Required when EXDOSE &gt; 0. Leave empty for vehicle/control.</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Sponsor</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Text field</w:t>
            </w:r>
          </w:p>
        </w:tc>
        <w:tc>
          <w:tcPr>
            <w:tcW w:type="dxa" w:w="4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Maps to SSPONSOR and STDIR in TS.</w:t>
            </w:r>
          </w:p>
        </w:tc>
      </w:tr>
      <w:tr>
        <w:tc>
          <w:tcPr>
            <w:tcW w:type="dxa" w:w="2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b/>
                <w:bCs/>
                <w:sz w:val="18"/>
                <w:szCs w:val="18"/>
              </w:rPr>
              <w:t xml:space="preserve">Study Title</w:t>
            </w:r>
          </w:p>
        </w:tc>
        <w:tc>
          <w:tcPr>
            <w:tcW w:type="dxa" w:w="2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18"/>
                <w:szCs w:val="18"/>
              </w:rPr>
              <w:t xml:space="preserve">Text field</w:t>
            </w:r>
          </w:p>
        </w:tc>
        <w:tc>
          <w:tcPr>
            <w:tcW w:type="dxa" w:w="49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18"/>
                <w:szCs w:val="18"/>
              </w:rPr>
              <w:t xml:space="preserve">Maps to STITLE in TS.</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Dose Unit</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Dropdown: nmol/L, umol/L, mmol/L, ug/mL, ng/mL, %</w:t>
            </w:r>
          </w:p>
        </w:tc>
        <w:tc>
          <w:tcPr>
            <w:tcW w:type="dxa" w:w="4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Maps to EXDOSU in EX and TRTDOSU in TX.</w:t>
            </w:r>
          </w:p>
        </w:tc>
      </w:tr>
    </w:tbl>
    <w:r>
      <w:br w:type="page"/>
    </w:r>
    <w:p>
      <w:pPr>
        <w:pStyle w:val="Heading1"/>
        <w:spacing w:after="150" w:before="300"/>
      </w:pPr>
      <w:r>
        <w:rPr>
          <w:rFonts w:ascii="Arial" w:cs="Arial" w:eastAsia="Arial" w:hAnsi="Arial"/>
        </w:rPr>
        <w:t xml:space="preserve">7. Pinnacle 21 Validation</w:t>
      </w:r>
    </w:p>
    <w:p>
      <w:pPr>
        <w:spacing w:after="120"/>
      </w:pPr>
      <w:r>
        <w:rPr>
          <w:rFonts w:ascii="Arial" w:cs="Arial" w:eastAsia="Arial" w:hAnsi="Arial"/>
          <w:sz w:val="20"/>
          <w:szCs w:val="20"/>
        </w:rPr>
        <w:t xml:space="preserve">After 14 iterations of fix cycles, the export achieves 42 remaining Pinnacle 21 issues, all of which are expected and justified for an in vitro hiPSC-CM study. These must be documented in the Study Data Reviewer's Guide (SDRG) accompanying any FDA submission.</w:t>
      </w:r>
    </w:p>
    <w:p>
      <w:pPr>
        <w:pStyle w:val="Heading2"/>
        <w:spacing w:after="150" w:before="300"/>
      </w:pPr>
      <w:r>
        <w:rPr>
          <w:rFonts w:ascii="Arial" w:cs="Arial" w:eastAsia="Arial" w:hAnsi="Arial"/>
        </w:rPr>
        <w:t xml:space="preserve">7.1 Accepted Warnings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200"/>
        <w:gridCol w:w="5860"/>
      </w:tblGrid>
      <w:tr>
        <w:tc>
          <w:tcPr>
            <w:tcW w:type="dxa" w:w="13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18"/>
                <w:szCs w:val="18"/>
              </w:rPr>
              <w:t xml:space="preserve">P21 Rule</w:t>
            </w:r>
          </w:p>
        </w:tc>
        <w:tc>
          <w:tcPr>
            <w:tcW w:type="dxa" w:w="22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18"/>
                <w:szCs w:val="18"/>
              </w:rPr>
              <w:t xml:space="preserve">Count</w:t>
            </w:r>
          </w:p>
        </w:tc>
        <w:tc>
          <w:tcPr>
            <w:tcW w:type="dxa" w:w="586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18"/>
                <w:szCs w:val="18"/>
              </w:rPr>
              <w:t xml:space="preserve">Justification for SDRG</w:t>
            </w:r>
          </w:p>
        </w:tc>
      </w:tr>
      <w:tr>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CT2002</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~1028 (extensible codelist)</w:t>
            </w:r>
          </w:p>
        </w:tc>
        <w:tc>
          <w:tcPr>
            <w:tcW w:type="dxa" w:w="5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Custom EGTESTCD/EGTEST for hiPSC-CM field potential endpoints. EGMETHOD=DERIVED because values are algorithmically extracted. These are extensions of the ECG codelist for in vitro electrophysiology.</w:t>
            </w:r>
          </w:p>
        </w:tc>
      </w:tr>
      <w:tr>
        <w:tc>
          <w:tcPr>
            <w:tcW w:type="dxa" w:w="13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b/>
                <w:bCs/>
                <w:sz w:val="18"/>
                <w:szCs w:val="18"/>
              </w:rPr>
              <w:t xml:space="preserve">SD1121</w:t>
            </w:r>
          </w:p>
        </w:tc>
        <w:tc>
          <w:tcPr>
            <w:tcW w:type="dxa" w:w="2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18"/>
                <w:szCs w:val="18"/>
              </w:rPr>
              <w:t xml:space="preserve">2</w:t>
            </w:r>
          </w:p>
        </w:tc>
        <w:tc>
          <w:tcPr>
            <w:tcW w:type="dxa" w:w="58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18"/>
                <w:szCs w:val="18"/>
              </w:rPr>
              <w:t xml:space="preserve">AGE/AGETXT empty because hiPSC-CM cell lines have no biological age. SPECIES=HUMAN reflects cell origin, not a living subject.</w:t>
            </w:r>
          </w:p>
        </w:tc>
      </w:tr>
      <w:tr>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SD1149</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5 (AGEU, DSUSCHFL, EGCSTATE, EGLEAD, EGPOS)</w:t>
            </w:r>
          </w:p>
        </w:tc>
        <w:tc>
          <w:tcPr>
            <w:tcW w:type="dxa" w:w="5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Variables structurally empty for in vitro: no age unit (no age), no unscheduled flag (all planned), no ECG confinement state/lead/position (MEA plate, not animal).</w:t>
            </w:r>
          </w:p>
        </w:tc>
      </w:tr>
      <w:tr>
        <w:tc>
          <w:tcPr>
            <w:tcW w:type="dxa" w:w="13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b/>
                <w:bCs/>
                <w:sz w:val="18"/>
                <w:szCs w:val="18"/>
              </w:rPr>
              <w:t xml:space="preserve">CT2005</w:t>
            </w:r>
          </w:p>
        </w:tc>
        <w:tc>
          <w:tcPr>
            <w:tcW w:type="dxa" w:w="2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18"/>
                <w:szCs w:val="18"/>
              </w:rPr>
              <w:t xml:space="preserve">1 (STRAIN)</w:t>
            </w:r>
          </w:p>
        </w:tc>
        <w:tc>
          <w:tcPr>
            <w:tcW w:type="dxa" w:w="58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18"/>
                <w:szCs w:val="18"/>
              </w:rPr>
              <w:t xml:space="preserve">STRAIN left empty (NA) for HUMAN species; hiPSC-CM is not a strain in NCI CT terminology.</w:t>
            </w:r>
          </w:p>
        </w:tc>
      </w:tr>
    </w:tbl>
    <w:p>
      <w:pPr>
        <w:pStyle w:val="Heading2"/>
        <w:spacing w:after="150" w:before="300"/>
      </w:pPr>
      <w:r>
        <w:rPr>
          <w:rFonts w:ascii="Arial" w:cs="Arial" w:eastAsia="Arial" w:hAnsi="Arial"/>
        </w:rPr>
        <w:t xml:space="preserve">7.2 Validation History</w:t>
      </w:r>
    </w:p>
    <w:p>
      <w:pPr>
        <w:spacing w:after="120"/>
      </w:pPr>
      <w:r>
        <w:rPr>
          <w:rFonts w:ascii="Arial" w:cs="Arial" w:eastAsia="Arial" w:hAnsi="Arial"/>
          <w:sz w:val="20"/>
          <w:szCs w:val="20"/>
        </w:rPr>
        <w:t xml:space="preserve">v1-v9: Initial implementation and structural fixes (define.xml, domain structure, variable ordering).</w:t>
      </w:r>
    </w:p>
    <w:p>
      <w:pPr>
        <w:spacing w:after="120"/>
      </w:pPr>
      <w:r>
        <w:rPr>
          <w:rFonts w:ascii="Arial" w:cs="Arial" w:eastAsia="Arial" w:hAnsi="Arial"/>
          <w:sz w:val="20"/>
          <w:szCs w:val="20"/>
        </w:rPr>
        <w:t xml:space="preserve">v10: Major rewrite to SENDIG v3.1.1 spec. Fixed missing parameters, labels, variables. Reduced from ~1500 to 1070 issues.</w:t>
      </w:r>
    </w:p>
    <w:p>
      <w:pPr>
        <w:spacing w:after="120"/>
      </w:pPr>
      <w:r>
        <w:rPr>
          <w:rFonts w:ascii="Arial" w:cs="Arial" w:eastAsia="Arial" w:hAnsi="Arial"/>
          <w:sz w:val="20"/>
          <w:szCs w:val="20"/>
        </w:rPr>
        <w:t xml:space="preserve">v11: Fixed SE0063 (variable labels from SENDIG spec), SD1079 (EPOCH removal from EG/EX), SD1111/SD1112/SD1113 (added TE/TA/SE domains).</w:t>
      </w:r>
    </w:p>
    <w:p>
      <w:pPr>
        <w:spacing w:after="120"/>
      </w:pPr>
      <w:r>
        <w:rPr>
          <w:rFonts w:ascii="Arial" w:cs="Arial" w:eastAsia="Arial" w:hAnsi="Arial"/>
          <w:sz w:val="20"/>
          <w:szCs w:val="20"/>
        </w:rPr>
        <w:t xml:space="preserve">v12: Fixed CT2003 with official NCI SEND Terminology labels (PCLASS, PDOSFRQ, SPREFID, STRPSTAT).</w:t>
      </w:r>
    </w:p>
    <w:p>
      <w:pPr>
        <w:spacing w:after="120"/>
      </w:pPr>
      <w:r>
        <w:rPr>
          <w:rFonts w:ascii="Arial" w:cs="Arial" w:eastAsia="Arial" w:hAnsi="Arial"/>
          <w:sz w:val="20"/>
          <w:szCs w:val="20"/>
        </w:rPr>
        <w:t xml:space="preserve">v13: Fixed CT2005 (SNDIGVER full value, SSTYP, STCAT codelist values), SE2352 (EXLOT), SD1076 (TAETORD in SE).</w:t>
      </w:r>
    </w:p>
    <w:p>
      <w:pPr>
        <w:spacing w:after="120"/>
      </w:pPr>
      <w:r>
        <w:rPr>
          <w:rFonts w:ascii="Arial" w:cs="Arial" w:eastAsia="Arial" w:hAnsi="Arial"/>
          <w:sz w:val="20"/>
          <w:szCs w:val="20"/>
        </w:rPr>
        <w:t xml:space="preserve">v14: EG/SUPPEG split, removed SCORE units, emptied STRAIN. Final: 42 issues (all accepted/documented).</w:t>
      </w:r>
    </w:p>
    <w:r>
      <w:br w:type="page"/>
    </w:r>
    <w:p>
      <w:pPr>
        <w:pStyle w:val="Heading1"/>
        <w:spacing w:after="150" w:before="300"/>
      </w:pPr>
      <w:r>
        <w:rPr>
          <w:rFonts w:ascii="Arial" w:cs="Arial" w:eastAsia="Arial" w:hAnsi="Arial"/>
        </w:rPr>
        <w:t xml:space="preserve">8. Reference Documents and Sources</w:t>
      </w:r>
    </w:p>
    <w:p>
      <w:pPr>
        <w:spacing w:after="120"/>
      </w:pPr>
      <w:r>
        <w:rPr>
          <w:rFonts w:ascii="Arial" w:cs="Arial" w:eastAsia="Arial" w:hAnsi="Arial"/>
          <w:sz w:val="20"/>
          <w:szCs w:val="20"/>
        </w:rPr>
        <w:t xml:space="preserve">The following documents and tools were used during development and validation. All should be available to future developers working on the CDISC export module.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000"/>
        <w:gridCol w:w="3160"/>
      </w:tblGrid>
      <w:tr>
        <w:tc>
          <w:tcPr>
            <w:tcW w:type="dxa" w:w="32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18"/>
                <w:szCs w:val="18"/>
              </w:rPr>
              <w:t xml:space="preserve">Document / Resource</w:t>
            </w:r>
          </w:p>
        </w:tc>
        <w:tc>
          <w:tcPr>
            <w:tcW w:type="dxa" w:w="30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18"/>
                <w:szCs w:val="18"/>
              </w:rPr>
              <w:t xml:space="preserve">Usage</w:t>
            </w:r>
          </w:p>
        </w:tc>
        <w:tc>
          <w:tcPr>
            <w:tcW w:type="dxa" w:w="316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18"/>
                <w:szCs w:val="18"/>
              </w:rPr>
              <w:t xml:space="preserve">Source</w:t>
            </w:r>
          </w:p>
        </w:tc>
      </w:tr>
      <w:t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SENDIG v3.1.1 (PDF)</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Domain structure, variable labels, column order, examples</w:t>
            </w:r>
          </w:p>
        </w:tc>
        <w:tc>
          <w:tcPr>
            <w:tcW w:type="dxa" w:w="3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CDISC member download (cdisc.org)</w:t>
            </w:r>
          </w:p>
        </w:tc>
      </w:tr>
      <w:tr>
        <w:tc>
          <w:tcPr>
            <w:tcW w:type="dxa" w:w="3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b/>
                <w:bCs/>
                <w:sz w:val="18"/>
                <w:szCs w:val="18"/>
              </w:rPr>
              <w:t xml:space="preserve">SEND Terminology (XLS)</w:t>
            </w:r>
          </w:p>
        </w:tc>
        <w:tc>
          <w:tcPr>
            <w:tcW w:type="dxa" w:w="30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18"/>
                <w:szCs w:val="18"/>
              </w:rPr>
              <w:t xml:space="preserve">Codelist values, TSPARMCD/TSPARM pairs, test codes</w:t>
            </w:r>
          </w:p>
        </w:tc>
        <w:tc>
          <w:tcPr>
            <w:tcW w:type="dxa" w:w="31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18"/>
                <w:szCs w:val="18"/>
              </w:rPr>
              <w:t xml:space="preserve">https://evs.nci.nih.gov/ftp1/CDISC/SEND/</w:t>
            </w:r>
          </w:p>
        </w:tc>
      </w:tr>
      <w:t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SDTM v1.5 (PDF)</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Base model variable labels (Interventions, Findings class)</w:t>
            </w:r>
          </w:p>
        </w:tc>
        <w:tc>
          <w:tcPr>
            <w:tcW w:type="dxa" w:w="3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CDISC member download</w:t>
            </w:r>
          </w:p>
        </w:tc>
      </w:tr>
      <w:tr>
        <w:tc>
          <w:tcPr>
            <w:tcW w:type="dxa" w:w="3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b/>
                <w:bCs/>
                <w:sz w:val="18"/>
                <w:szCs w:val="18"/>
              </w:rPr>
              <w:t xml:space="preserve">CoDEx v1.0 for SENDIG v3.1 (PDF)</w:t>
            </w:r>
          </w:p>
        </w:tc>
        <w:tc>
          <w:tcPr>
            <w:tcW w:type="dxa" w:w="30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18"/>
                <w:szCs w:val="18"/>
              </w:rPr>
              <w:t xml:space="preserve">Confirmed endpoints for exchange (informative, not normative)</w:t>
            </w:r>
          </w:p>
        </w:tc>
        <w:tc>
          <w:tcPr>
            <w:tcW w:type="dxa" w:w="31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18"/>
                <w:szCs w:val="18"/>
              </w:rPr>
              <w:t xml:space="preserve">CDISC</w:t>
            </w:r>
          </w:p>
        </w:tc>
      </w:tr>
      <w:t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SEND Conformance Rules v5.0 (XLSX)</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Validation rule descriptions</w:t>
            </w:r>
          </w:p>
        </w:tc>
        <w:tc>
          <w:tcPr>
            <w:tcW w:type="dxa" w:w="3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CDISC</w:t>
            </w:r>
          </w:p>
        </w:tc>
      </w:tr>
      <w:tr>
        <w:tc>
          <w:tcPr>
            <w:tcW w:type="dxa" w:w="3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b/>
                <w:bCs/>
                <w:sz w:val="18"/>
                <w:szCs w:val="18"/>
              </w:rPr>
              <w:t xml:space="preserve">Pinnacle 21 Community v4.1.0</w:t>
            </w:r>
          </w:p>
        </w:tc>
        <w:tc>
          <w:tcPr>
            <w:tcW w:type="dxa" w:w="30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18"/>
                <w:szCs w:val="18"/>
              </w:rPr>
              <w:t xml:space="preserve">Validation engine (FDA 2508.1 config)</w:t>
            </w:r>
          </w:p>
        </w:tc>
        <w:tc>
          <w:tcPr>
            <w:tcW w:type="dxa" w:w="31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18"/>
                <w:szCs w:val="18"/>
              </w:rPr>
              <w:t xml:space="preserve">https://www.pinnacle21.com</w:t>
            </w:r>
          </w:p>
        </w:tc>
      </w:tr>
      <w:t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ICH E14/S7B Q&amp;A (CiPA)</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Regulatory framework for in vitro cardiac safety</w:t>
            </w:r>
          </w:p>
        </w:tc>
        <w:tc>
          <w:tcPr>
            <w:tcW w:type="dxa" w:w="3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FDA/EMA/ICH guidelines</w:t>
            </w:r>
          </w:p>
        </w:tc>
      </w:tr>
    </w:tbl>
    <w:p>
      <w:pPr>
        <w:pStyle w:val="Heading2"/>
        <w:spacing w:after="150" w:before="300"/>
      </w:pPr>
      <w:r>
        <w:rPr>
          <w:rFonts w:ascii="Arial" w:cs="Arial" w:eastAsia="Arial" w:hAnsi="Arial"/>
        </w:rPr>
        <w:t xml:space="preserve">8.1 File Locations</w:t>
      </w:r>
    </w:p>
    <w:p>
      <w:pPr>
        <w:spacing w:after="120"/>
      </w:pPr>
      <w:r>
        <w:rPr>
          <w:rFonts w:ascii="Arial" w:cs="Arial" w:eastAsia="Arial" w:hAnsi="Arial"/>
          <w:b/>
          <w:bCs/>
          <w:sz w:val="20"/>
          <w:szCs w:val="20"/>
        </w:rPr>
        <w:t xml:space="preserve">Export module: </w:t>
      </w:r>
      <w:r>
        <w:rPr>
          <w:rFonts w:ascii="Arial" w:cs="Arial" w:eastAsia="Arial" w:hAnsi="Arial"/>
          <w:sz w:val="20"/>
          <w:szCs w:val="20"/>
        </w:rPr>
        <w:t xml:space="preserve">cardiac_fp_analyzer/cdisc_export.py</w:t>
      </w:r>
    </w:p>
    <w:p>
      <w:pPr>
        <w:spacing w:after="120"/>
      </w:pPr>
      <w:r>
        <w:rPr>
          <w:rFonts w:ascii="Arial" w:cs="Arial" w:eastAsia="Arial" w:hAnsi="Arial"/>
          <w:b/>
          <w:bCs/>
          <w:sz w:val="20"/>
          <w:szCs w:val="20"/>
        </w:rPr>
        <w:t xml:space="preserve">Output directory: </w:t>
      </w:r>
      <w:r>
        <w:rPr>
          <w:rFonts w:ascii="Arial" w:cs="Arial" w:eastAsia="Arial" w:hAnsi="Arial"/>
          <w:sz w:val="20"/>
          <w:szCs w:val="20"/>
        </w:rPr>
        <w:t xml:space="preserve">cdisc_send_output/ (generated at runtime)</w:t>
      </w:r>
    </w:p>
    <w:p>
      <w:pPr>
        <w:spacing w:after="120"/>
      </w:pPr>
      <w:r>
        <w:rPr>
          <w:rFonts w:ascii="Arial" w:cs="Arial" w:eastAsia="Arial" w:hAnsi="Arial"/>
          <w:b/>
          <w:bCs/>
          <w:sz w:val="20"/>
          <w:szCs w:val="20"/>
        </w:rPr>
        <w:t xml:space="preserve">XSL stylesheet: </w:t>
      </w:r>
      <w:r>
        <w:rPr>
          <w:rFonts w:ascii="Arial" w:cs="Arial" w:eastAsia="Arial" w:hAnsi="Arial"/>
          <w:sz w:val="20"/>
          <w:szCs w:val="20"/>
        </w:rPr>
        <w:t xml:space="preserve">cardiac_fp_analyzer/define2-1-0.xsl (copied to output)</w:t>
      </w:r>
    </w:p>
    <w:p>
      <w:pPr>
        <w:spacing w:after="120"/>
      </w:pPr>
      <w:r>
        <w:rPr>
          <w:rFonts w:ascii="Arial" w:cs="Arial" w:eastAsia="Arial" w:hAnsi="Arial"/>
          <w:b/>
          <w:bCs/>
          <w:sz w:val="20"/>
          <w:szCs w:val="20"/>
        </w:rPr>
        <w:t xml:space="preserve">NCI Terminology: </w:t>
      </w:r>
      <w:r>
        <w:rPr>
          <w:rFonts w:ascii="Arial" w:cs="Arial" w:eastAsia="Arial" w:hAnsi="Arial"/>
          <w:sz w:val="20"/>
          <w:szCs w:val="20"/>
        </w:rPr>
        <w:t xml:space="preserve">Keep SEND Terminology .xls file alongside project for reference</w:t>
      </w:r>
    </w:p>
    <w:p>
      <w:pPr>
        <w:pStyle w:val="Heading2"/>
        <w:spacing w:after="150" w:before="300"/>
      </w:pPr>
      <w:r>
        <w:rPr>
          <w:rFonts w:ascii="Arial" w:cs="Arial" w:eastAsia="Arial" w:hAnsi="Arial"/>
        </w:rPr>
        <w:t xml:space="preserve">8.2 Technical Format Notes</w:t>
      </w:r>
    </w:p>
    <w:p>
      <w:pPr>
        <w:spacing w:after="120"/>
      </w:pPr>
      <w:r>
        <w:rPr>
          <w:rFonts w:ascii="Arial" w:cs="Arial" w:eastAsia="Arial" w:hAnsi="Arial"/>
          <w:b/>
          <w:bCs/>
          <w:sz w:val="20"/>
          <w:szCs w:val="20"/>
        </w:rPr>
        <w:t xml:space="preserve">SAS Transport v5 (.xpt): </w:t>
      </w:r>
      <w:r>
        <w:rPr>
          <w:rFonts w:ascii="Arial" w:cs="Arial" w:eastAsia="Arial" w:hAnsi="Arial"/>
          <w:sz w:val="20"/>
          <w:szCs w:val="20"/>
        </w:rPr>
        <w:t xml:space="preserve">Binary format written via pyreadstat. Variable names max 8 chars, labels max 40 chars. Variable labels are embedded in the .xpt file header and must match SENDIG spec exactly.</w:t>
      </w:r>
    </w:p>
    <w:p>
      <w:pPr>
        <w:spacing w:after="120"/>
      </w:pPr>
      <w:r>
        <w:rPr>
          <w:rFonts w:ascii="Arial" w:cs="Arial" w:eastAsia="Arial" w:hAnsi="Arial"/>
          <w:b/>
          <w:bCs/>
          <w:sz w:val="20"/>
          <w:szCs w:val="20"/>
        </w:rPr>
        <w:t xml:space="preserve">Define-XML 2.1: </w:t>
      </w:r>
      <w:r>
        <w:rPr>
          <w:rFonts w:ascii="Arial" w:cs="Arial" w:eastAsia="Arial" w:hAnsi="Arial"/>
          <w:sz w:val="20"/>
          <w:szCs w:val="20"/>
        </w:rPr>
        <w:t xml:space="preserve">XML metadata file describing all datasets, variables, and codelists. Referenced by Pinnacle 21 during validation. Must list all domains present in the submission.</w:t>
      </w:r>
    </w:p>
    <w:p>
      <w:pPr>
        <w:spacing w:after="120"/>
      </w:pPr>
      <w:r>
        <w:rPr>
          <w:rFonts w:ascii="Arial" w:cs="Arial" w:eastAsia="Arial" w:hAnsi="Arial"/>
          <w:b/>
          <w:bCs/>
          <w:sz w:val="20"/>
          <w:szCs w:val="20"/>
        </w:rPr>
        <w:t xml:space="preserve">NCI Controlled Terminology: </w:t>
      </w:r>
      <w:r>
        <w:rPr>
          <w:rFonts w:ascii="Arial" w:cs="Arial" w:eastAsia="Arial" w:hAnsi="Arial"/>
          <w:sz w:val="20"/>
          <w:szCs w:val="20"/>
        </w:rPr>
        <w:t xml:space="preserve">The SEND Terminology .xls from NCI EVS is the authoritative source for all codelist values. Always verify TSPARMCD/TSPARM pairs against this file, NOT against the SENDIG PDF tables.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6" w:space="1"/>
      </w:pBdr>
      <w:tabs>
        <w:tab w:val="right" w:pos="9026"/>
      </w:tabs>
    </w:pPr>
    <w:r>
      <w:rPr>
        <w:rFonts w:ascii="Arial" w:cs="Arial" w:eastAsia="Arial" w:hAnsi="Arial"/>
        <w:color w:val="999999"/>
        <w:sz w:val="16"/>
        <w:szCs w:val="16"/>
      </w:rPr>
      <w:t xml:space="preserve">CDISC SEND Export — Reference Guide</w:t>
    </w:r>
    <w:r>
      <w:rPr>
        <w:rFonts w:ascii="Arial" w:cs="Arial" w:eastAsia="Arial" w:hAnsi="Arial"/>
        <w:color w:val="999999"/>
        <w:sz w:val="16"/>
        <w:szCs w:val="16"/>
      </w:rPr>
      <w:t xml:space="preserve">	v1.0 — March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4E79"/>
      <w:sz w:val="36"/>
      <w:szCs w:val="36"/>
    </w:rPr>
  </w:style>
  <w:style w:type="paragraph" w:styleId="Heading2">
    <w:name w:val="Heading 2"/>
    <w:basedOn w:val="Normal"/>
    <w:next w:val="Normal"/>
    <w:qFormat/>
    <w:pPr>
      <w:spacing w:after="160" w:before="280"/>
      <w:outlineLvl w:val="1"/>
    </w:pPr>
    <w:rPr>
      <w:rFonts w:ascii="Arial" w:cs="Arial" w:eastAsia="Arial" w:hAnsi="Arial"/>
      <w:b/>
      <w:bCs/>
      <w:color w:val="2E75B6"/>
      <w:sz w:val="28"/>
      <w:szCs w:val="28"/>
    </w:rPr>
  </w:style>
  <w:style w:type="paragraph" w:styleId="Heading3">
    <w:name w:val="Heading 3"/>
    <w:basedOn w:val="Normal"/>
    <w:next w:val="Normal"/>
    <w:qFormat/>
    <w:pPr>
      <w:spacing w:after="120" w:before="200"/>
      <w:outlineLvl w:val="2"/>
    </w:pPr>
    <w:rPr>
      <w:rFonts w:ascii="Arial" w:cs="Arial" w:eastAsia="Arial" w:hAnsi="Arial"/>
      <w:b/>
      <w:bCs/>
      <w:color w:val="40404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2026-03-22T17:43:55.461Z</dcterms:created>
  <dcterms:modified xsi:type="dcterms:W3CDTF">2026-03-22T17:43:55.462Z</dcterms:modified>
</cp:coreProperties>
</file>

<file path=docProps/custom.xml><?xml version="1.0" encoding="utf-8"?>
<Properties xmlns="http://schemas.openxmlformats.org/officeDocument/2006/custom-properties" xmlns:vt="http://schemas.openxmlformats.org/officeDocument/2006/docPropsVTypes"/>
</file>