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E263B" w:rsidRDefault="00CE263B">
      <w:r>
        <w:t>Abstract</w:t>
      </w:r>
    </w:p>
    <w:p w:rsidR="00CE263B" w:rsidRDefault="00CE263B">
      <w:r>
        <w:t>The foreign exchange (forex) market is inherently volatile, driven by complex macroeconomic factors and stochastic behaviors, making the accurate prediction of currency pairs such as EUR/USD a longstanding challenge in financial analytics. Traditional statistical models often fail to capture nonlinear patterns and long-term dependencies inherent in exchange rate movements. This research proposes a comparative study of two state-of-the-art deep learning approaches</w:t>
      </w:r>
      <w:r>
        <w:t xml:space="preserve"> </w:t>
      </w:r>
      <w:r>
        <w:t>Long Short-Term Memory (LSTM) networks and the Temporal Fusion Transformer (TFT)</w:t>
      </w:r>
      <w:r>
        <w:t xml:space="preserve"> </w:t>
      </w:r>
      <w:r>
        <w:t>for forecasting the EUR/USD currency pair. The study leverages historical time series data enriched with technical indicators and temporal features to train both models. Beyond predictive accuracy, the research emphasizes model interpretability using attention mechanisms and SHAP (SHapley Additive Explanations) to enhance transparency—an essential consideration for real-world financial decision-making. By evaluating model performance through both statistical and directional accuracy metrics, the study aims to contribute a practical, interpretable, and generalizable forecasting framework for currency trading and financial risk management.</w:t>
      </w:r>
    </w:p>
    <w:p w:rsidR="00CE263B" w:rsidRDefault="00CE263B">
      <w:r>
        <w:br w:type="page"/>
      </w:r>
    </w:p>
    <w:p w:rsidR="00CE263B" w:rsidRPr="00CE263B" w:rsidRDefault="00CE263B" w:rsidP="00CE263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CE263B">
        <w:rPr>
          <w:rFonts w:ascii="Times New Roman" w:eastAsia="Times New Roman" w:hAnsi="Times New Roman" w:cs="Times New Roman"/>
          <w:b/>
          <w:bCs/>
          <w:kern w:val="0"/>
          <w:sz w:val="36"/>
          <w:szCs w:val="36"/>
          <w:lang w:eastAsia="en-GB"/>
          <w14:ligatures w14:val="none"/>
        </w:rPr>
        <w:lastRenderedPageBreak/>
        <w:t>1. Introduction</w:t>
      </w:r>
    </w:p>
    <w:p w:rsidR="00CE263B" w:rsidRPr="00CE263B" w:rsidRDefault="00CE263B" w:rsidP="00CE263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E263B">
        <w:rPr>
          <w:rFonts w:ascii="Times New Roman" w:eastAsia="Times New Roman" w:hAnsi="Times New Roman" w:cs="Times New Roman"/>
          <w:b/>
          <w:bCs/>
          <w:kern w:val="0"/>
          <w:sz w:val="27"/>
          <w:szCs w:val="27"/>
          <w:lang w:eastAsia="en-GB"/>
          <w14:ligatures w14:val="none"/>
        </w:rPr>
        <w:t>1.1 Background of the Problem</w:t>
      </w:r>
    </w:p>
    <w:p w:rsidR="00CE263B" w:rsidRPr="00CE263B" w:rsidRDefault="00CE263B" w:rsidP="00CE263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263B">
        <w:rPr>
          <w:rFonts w:ascii="Times New Roman" w:eastAsia="Times New Roman" w:hAnsi="Times New Roman" w:cs="Times New Roman"/>
          <w:kern w:val="0"/>
          <w:lang w:eastAsia="en-GB"/>
          <w14:ligatures w14:val="none"/>
        </w:rPr>
        <w:t xml:space="preserve">The foreign exchange (forex) market is the most liquid and globally integrated financial marketplace, with an average daily trading volume exceeding $7 trillion as of 2022 (Bank for International Settlements [BIS], 2022). Among the myriad of currency pairs traded, the </w:t>
      </w:r>
      <w:r w:rsidRPr="00CE263B">
        <w:rPr>
          <w:rFonts w:ascii="Times New Roman" w:eastAsia="Times New Roman" w:hAnsi="Times New Roman" w:cs="Times New Roman"/>
          <w:b/>
          <w:bCs/>
          <w:kern w:val="0"/>
          <w:lang w:eastAsia="en-GB"/>
          <w14:ligatures w14:val="none"/>
        </w:rPr>
        <w:t>EUR/USD</w:t>
      </w:r>
      <w:r w:rsidRPr="00CE263B">
        <w:rPr>
          <w:rFonts w:ascii="Times New Roman" w:eastAsia="Times New Roman" w:hAnsi="Times New Roman" w:cs="Times New Roman"/>
          <w:kern w:val="0"/>
          <w:lang w:eastAsia="en-GB"/>
          <w14:ligatures w14:val="none"/>
        </w:rPr>
        <w:t xml:space="preserve"> pair remains the most active and heavily speculated, making it a focal point for both institutional investors and algorithmic trading systems. Predicting the future direction of such a currency pair is notoriously difficult due to its sensitivity to a wide range of dynamic, non-stationary, and often nonlinear macroeconomic indicators</w:t>
      </w:r>
      <w:r>
        <w:rPr>
          <w:rFonts w:ascii="Times New Roman" w:eastAsia="Times New Roman" w:hAnsi="Times New Roman" w:cs="Times New Roman"/>
          <w:kern w:val="0"/>
          <w:lang w:eastAsia="en-GB"/>
          <w14:ligatures w14:val="none"/>
        </w:rPr>
        <w:t xml:space="preserve"> </w:t>
      </w:r>
      <w:r w:rsidRPr="00CE263B">
        <w:rPr>
          <w:rFonts w:ascii="Times New Roman" w:eastAsia="Times New Roman" w:hAnsi="Times New Roman" w:cs="Times New Roman"/>
          <w:kern w:val="0"/>
          <w:lang w:eastAsia="en-GB"/>
          <w14:ligatures w14:val="none"/>
        </w:rPr>
        <w:t>including interest rates, inflation expectations, geopolitical developments, and investor sentiment (Chen et al., 2019).</w:t>
      </w:r>
    </w:p>
    <w:p w:rsidR="00CE263B" w:rsidRPr="00CE263B" w:rsidRDefault="00CE263B" w:rsidP="00CE263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263B">
        <w:rPr>
          <w:rFonts w:ascii="Times New Roman" w:eastAsia="Times New Roman" w:hAnsi="Times New Roman" w:cs="Times New Roman"/>
          <w:kern w:val="0"/>
          <w:lang w:eastAsia="en-GB"/>
          <w14:ligatures w14:val="none"/>
        </w:rPr>
        <w:t>Traditional econometric and time series models such as ARIMA, GARCH, and VAR have historically been deployed to forecast exchange rates (Zhang &amp; Zhou, 2020). While these models provide analytical tractability and interpretability, they often suffer from limited performance in capturing the chaotic and high-frequency behaviors present in real-world financial markets. These limitations have catalyzed the exploration of more flexible, data-driven methods that can automatically learn complex temporal dependencies.</w:t>
      </w:r>
    </w:p>
    <w:p w:rsidR="00CE263B" w:rsidRPr="00CE263B" w:rsidRDefault="00CE263B" w:rsidP="00CE263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E263B">
        <w:rPr>
          <w:rFonts w:ascii="Times New Roman" w:eastAsia="Times New Roman" w:hAnsi="Times New Roman" w:cs="Times New Roman"/>
          <w:b/>
          <w:bCs/>
          <w:kern w:val="0"/>
          <w:sz w:val="27"/>
          <w:szCs w:val="27"/>
          <w:lang w:eastAsia="en-GB"/>
          <w14:ligatures w14:val="none"/>
        </w:rPr>
        <w:t>1.2 Statement of the Problem</w:t>
      </w:r>
    </w:p>
    <w:p w:rsidR="00CE263B" w:rsidRPr="00CE263B" w:rsidRDefault="00CE263B" w:rsidP="00CE263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263B">
        <w:rPr>
          <w:rFonts w:ascii="Times New Roman" w:eastAsia="Times New Roman" w:hAnsi="Times New Roman" w:cs="Times New Roman"/>
          <w:kern w:val="0"/>
          <w:lang w:eastAsia="en-GB"/>
          <w14:ligatures w14:val="none"/>
        </w:rPr>
        <w:t xml:space="preserve">Despite advances in deep learning, there exists a research gap in empirically comparing </w:t>
      </w:r>
      <w:r w:rsidRPr="00CE263B">
        <w:rPr>
          <w:rFonts w:ascii="Times New Roman" w:eastAsia="Times New Roman" w:hAnsi="Times New Roman" w:cs="Times New Roman"/>
          <w:b/>
          <w:bCs/>
          <w:kern w:val="0"/>
          <w:lang w:eastAsia="en-GB"/>
          <w14:ligatures w14:val="none"/>
        </w:rPr>
        <w:t>recurrent architectures such as LSTM</w:t>
      </w:r>
      <w:r w:rsidRPr="00CE263B">
        <w:rPr>
          <w:rFonts w:ascii="Times New Roman" w:eastAsia="Times New Roman" w:hAnsi="Times New Roman" w:cs="Times New Roman"/>
          <w:kern w:val="0"/>
          <w:lang w:eastAsia="en-GB"/>
          <w14:ligatures w14:val="none"/>
        </w:rPr>
        <w:t xml:space="preserve"> with </w:t>
      </w:r>
      <w:r w:rsidRPr="00CE263B">
        <w:rPr>
          <w:rFonts w:ascii="Times New Roman" w:eastAsia="Times New Roman" w:hAnsi="Times New Roman" w:cs="Times New Roman"/>
          <w:b/>
          <w:bCs/>
          <w:kern w:val="0"/>
          <w:lang w:eastAsia="en-GB"/>
          <w14:ligatures w14:val="none"/>
        </w:rPr>
        <w:t>attention-based models like the Temporal Fusion Transformer (TFT)</w:t>
      </w:r>
      <w:r w:rsidRPr="00CE263B">
        <w:rPr>
          <w:rFonts w:ascii="Times New Roman" w:eastAsia="Times New Roman" w:hAnsi="Times New Roman" w:cs="Times New Roman"/>
          <w:kern w:val="0"/>
          <w:lang w:eastAsia="en-GB"/>
          <w14:ligatures w14:val="none"/>
        </w:rPr>
        <w:t xml:space="preserve"> specifically for </w:t>
      </w:r>
      <w:r w:rsidRPr="00CE263B">
        <w:rPr>
          <w:rFonts w:ascii="Times New Roman" w:eastAsia="Times New Roman" w:hAnsi="Times New Roman" w:cs="Times New Roman"/>
          <w:b/>
          <w:bCs/>
          <w:kern w:val="0"/>
          <w:lang w:eastAsia="en-GB"/>
          <w14:ligatures w14:val="none"/>
        </w:rPr>
        <w:t>forex forecasting</w:t>
      </w:r>
      <w:r w:rsidRPr="00CE263B">
        <w:rPr>
          <w:rFonts w:ascii="Times New Roman" w:eastAsia="Times New Roman" w:hAnsi="Times New Roman" w:cs="Times New Roman"/>
          <w:kern w:val="0"/>
          <w:lang w:eastAsia="en-GB"/>
          <w14:ligatures w14:val="none"/>
        </w:rPr>
        <w:t xml:space="preserve">. Moreover, while predictive performance is frequently emphasized in existing studies, </w:t>
      </w:r>
      <w:r w:rsidRPr="00CE263B">
        <w:rPr>
          <w:rFonts w:ascii="Times New Roman" w:eastAsia="Times New Roman" w:hAnsi="Times New Roman" w:cs="Times New Roman"/>
          <w:b/>
          <w:bCs/>
          <w:kern w:val="0"/>
          <w:lang w:eastAsia="en-GB"/>
          <w14:ligatures w14:val="none"/>
        </w:rPr>
        <w:t>model interpretability</w:t>
      </w:r>
      <w:r>
        <w:rPr>
          <w:rFonts w:ascii="Times New Roman" w:eastAsia="Times New Roman" w:hAnsi="Times New Roman" w:cs="Times New Roman"/>
          <w:b/>
          <w:bCs/>
          <w:kern w:val="0"/>
          <w:lang w:eastAsia="en-GB"/>
          <w14:ligatures w14:val="none"/>
        </w:rPr>
        <w:t>,</w:t>
      </w:r>
      <w:r>
        <w:rPr>
          <w:rFonts w:ascii="Times New Roman" w:eastAsia="Times New Roman" w:hAnsi="Times New Roman" w:cs="Times New Roman"/>
          <w:kern w:val="0"/>
          <w:lang w:eastAsia="en-GB"/>
          <w14:ligatures w14:val="none"/>
        </w:rPr>
        <w:t xml:space="preserve"> </w:t>
      </w:r>
      <w:r w:rsidRPr="00CE263B">
        <w:rPr>
          <w:rFonts w:ascii="Times New Roman" w:eastAsia="Times New Roman" w:hAnsi="Times New Roman" w:cs="Times New Roman"/>
          <w:kern w:val="0"/>
          <w:lang w:eastAsia="en-GB"/>
          <w14:ligatures w14:val="none"/>
        </w:rPr>
        <w:t>a crucial factor for regulatory compliance, risk management, and trader trust</w:t>
      </w:r>
      <w:r>
        <w:rPr>
          <w:rFonts w:ascii="Times New Roman" w:eastAsia="Times New Roman" w:hAnsi="Times New Roman" w:cs="Times New Roman"/>
          <w:kern w:val="0"/>
          <w:lang w:eastAsia="en-GB"/>
          <w14:ligatures w14:val="none"/>
        </w:rPr>
        <w:t xml:space="preserve"> </w:t>
      </w:r>
      <w:r w:rsidRPr="00CE263B">
        <w:rPr>
          <w:rFonts w:ascii="Times New Roman" w:eastAsia="Times New Roman" w:hAnsi="Times New Roman" w:cs="Times New Roman"/>
          <w:kern w:val="0"/>
          <w:lang w:eastAsia="en-GB"/>
          <w14:ligatures w14:val="none"/>
        </w:rPr>
        <w:t>has received comparatively less attention in this domain (Doshi-Velez &amp; Kim, 2017). This research seeks to address both challenges by evaluating not only the forecasting accuracy but also the interpretability of LSTM and TFT models in the context of EUR/USD prediction.</w:t>
      </w:r>
    </w:p>
    <w:p w:rsidR="00CE263B" w:rsidRPr="00CE263B" w:rsidRDefault="00CE263B" w:rsidP="00CE263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E263B">
        <w:rPr>
          <w:rFonts w:ascii="Times New Roman" w:eastAsia="Times New Roman" w:hAnsi="Times New Roman" w:cs="Times New Roman"/>
          <w:b/>
          <w:bCs/>
          <w:kern w:val="0"/>
          <w:sz w:val="27"/>
          <w:szCs w:val="27"/>
          <w:lang w:eastAsia="en-GB"/>
          <w14:ligatures w14:val="none"/>
        </w:rPr>
        <w:t>1.3 Purpose of the Study</w:t>
      </w:r>
    </w:p>
    <w:p w:rsidR="00CE263B" w:rsidRPr="00CE263B" w:rsidRDefault="00CE263B" w:rsidP="00CE263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263B">
        <w:rPr>
          <w:rFonts w:ascii="Times New Roman" w:eastAsia="Times New Roman" w:hAnsi="Times New Roman" w:cs="Times New Roman"/>
          <w:kern w:val="0"/>
          <w:lang w:eastAsia="en-GB"/>
          <w14:ligatures w14:val="none"/>
        </w:rPr>
        <w:t>The primary aim of this study is to develop and assess deep learning models</w:t>
      </w:r>
      <w:r>
        <w:rPr>
          <w:rFonts w:ascii="Times New Roman" w:eastAsia="Times New Roman" w:hAnsi="Times New Roman" w:cs="Times New Roman"/>
          <w:kern w:val="0"/>
          <w:lang w:eastAsia="en-GB"/>
          <w14:ligatures w14:val="none"/>
        </w:rPr>
        <w:t xml:space="preserve"> </w:t>
      </w:r>
      <w:r w:rsidRPr="00CE263B">
        <w:rPr>
          <w:rFonts w:ascii="Times New Roman" w:eastAsia="Times New Roman" w:hAnsi="Times New Roman" w:cs="Times New Roman"/>
          <w:kern w:val="0"/>
          <w:lang w:eastAsia="en-GB"/>
          <w14:ligatures w14:val="none"/>
        </w:rPr>
        <w:t>LSTM and TFT</w:t>
      </w:r>
      <w:r>
        <w:rPr>
          <w:rFonts w:ascii="Times New Roman" w:eastAsia="Times New Roman" w:hAnsi="Times New Roman" w:cs="Times New Roman"/>
          <w:kern w:val="0"/>
          <w:lang w:eastAsia="en-GB"/>
          <w14:ligatures w14:val="none"/>
        </w:rPr>
        <w:t xml:space="preserve"> </w:t>
      </w:r>
      <w:r w:rsidRPr="00CE263B">
        <w:rPr>
          <w:rFonts w:ascii="Times New Roman" w:eastAsia="Times New Roman" w:hAnsi="Times New Roman" w:cs="Times New Roman"/>
          <w:kern w:val="0"/>
          <w:lang w:eastAsia="en-GB"/>
          <w14:ligatures w14:val="none"/>
        </w:rPr>
        <w:t xml:space="preserve">for short-term (1-day ahead) forecasting of the EUR/USD exchange rate. The study also intends to evaluate the </w:t>
      </w:r>
      <w:r w:rsidRPr="00CE263B">
        <w:rPr>
          <w:rFonts w:ascii="Times New Roman" w:eastAsia="Times New Roman" w:hAnsi="Times New Roman" w:cs="Times New Roman"/>
          <w:b/>
          <w:bCs/>
          <w:kern w:val="0"/>
          <w:lang w:eastAsia="en-GB"/>
          <w14:ligatures w14:val="none"/>
        </w:rPr>
        <w:t>explainability</w:t>
      </w:r>
      <w:r w:rsidRPr="00CE263B">
        <w:rPr>
          <w:rFonts w:ascii="Times New Roman" w:eastAsia="Times New Roman" w:hAnsi="Times New Roman" w:cs="Times New Roman"/>
          <w:kern w:val="0"/>
          <w:lang w:eastAsia="en-GB"/>
          <w14:ligatures w14:val="none"/>
        </w:rPr>
        <w:t xml:space="preserve"> of these models using </w:t>
      </w:r>
      <w:r w:rsidRPr="00CE263B">
        <w:rPr>
          <w:rFonts w:ascii="Times New Roman" w:eastAsia="Times New Roman" w:hAnsi="Times New Roman" w:cs="Times New Roman"/>
          <w:b/>
          <w:bCs/>
          <w:kern w:val="0"/>
          <w:lang w:eastAsia="en-GB"/>
          <w14:ligatures w14:val="none"/>
        </w:rPr>
        <w:t>SHAP values</w:t>
      </w:r>
      <w:r w:rsidRPr="00CE263B">
        <w:rPr>
          <w:rFonts w:ascii="Times New Roman" w:eastAsia="Times New Roman" w:hAnsi="Times New Roman" w:cs="Times New Roman"/>
          <w:kern w:val="0"/>
          <w:lang w:eastAsia="en-GB"/>
          <w14:ligatures w14:val="none"/>
        </w:rPr>
        <w:t xml:space="preserve"> and </w:t>
      </w:r>
      <w:r w:rsidRPr="00CE263B">
        <w:rPr>
          <w:rFonts w:ascii="Times New Roman" w:eastAsia="Times New Roman" w:hAnsi="Times New Roman" w:cs="Times New Roman"/>
          <w:b/>
          <w:bCs/>
          <w:kern w:val="0"/>
          <w:lang w:eastAsia="en-GB"/>
          <w14:ligatures w14:val="none"/>
        </w:rPr>
        <w:t>attention mechanisms</w:t>
      </w:r>
      <w:r w:rsidRPr="00CE263B">
        <w:rPr>
          <w:rFonts w:ascii="Times New Roman" w:eastAsia="Times New Roman" w:hAnsi="Times New Roman" w:cs="Times New Roman"/>
          <w:kern w:val="0"/>
          <w:lang w:eastAsia="en-GB"/>
          <w14:ligatures w14:val="none"/>
        </w:rPr>
        <w:t>, thereby offering a holistic understanding of how each model arrives at its predictions. This dual focus on performance and transparency positions the research to contribute meaningfully to both academic discourse and real-world financial applications.</w:t>
      </w:r>
    </w:p>
    <w:p w:rsidR="00CE263B" w:rsidRPr="00CE263B" w:rsidRDefault="00CE263B" w:rsidP="00CE263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E263B">
        <w:rPr>
          <w:rFonts w:ascii="Times New Roman" w:eastAsia="Times New Roman" w:hAnsi="Times New Roman" w:cs="Times New Roman"/>
          <w:b/>
          <w:bCs/>
          <w:kern w:val="0"/>
          <w:sz w:val="27"/>
          <w:szCs w:val="27"/>
          <w:lang w:eastAsia="en-GB"/>
          <w14:ligatures w14:val="none"/>
        </w:rPr>
        <w:t>1.4 Theoretical Framework</w:t>
      </w:r>
    </w:p>
    <w:p w:rsidR="00CE263B" w:rsidRPr="00CE263B" w:rsidRDefault="00CE263B" w:rsidP="00CE263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263B">
        <w:rPr>
          <w:rFonts w:ascii="Times New Roman" w:eastAsia="Times New Roman" w:hAnsi="Times New Roman" w:cs="Times New Roman"/>
          <w:kern w:val="0"/>
          <w:lang w:eastAsia="en-GB"/>
          <w14:ligatures w14:val="none"/>
        </w:rPr>
        <w:t xml:space="preserve">This study is rooted in the </w:t>
      </w:r>
      <w:r w:rsidRPr="00CE263B">
        <w:rPr>
          <w:rFonts w:ascii="Times New Roman" w:eastAsia="Times New Roman" w:hAnsi="Times New Roman" w:cs="Times New Roman"/>
          <w:b/>
          <w:bCs/>
          <w:kern w:val="0"/>
          <w:lang w:eastAsia="en-GB"/>
          <w14:ligatures w14:val="none"/>
        </w:rPr>
        <w:t>theory of time series modeling</w:t>
      </w:r>
      <w:r w:rsidRPr="00CE263B">
        <w:rPr>
          <w:rFonts w:ascii="Times New Roman" w:eastAsia="Times New Roman" w:hAnsi="Times New Roman" w:cs="Times New Roman"/>
          <w:kern w:val="0"/>
          <w:lang w:eastAsia="en-GB"/>
          <w14:ligatures w14:val="none"/>
        </w:rPr>
        <w:t xml:space="preserve">, </w:t>
      </w:r>
      <w:r w:rsidRPr="00CE263B">
        <w:rPr>
          <w:rFonts w:ascii="Times New Roman" w:eastAsia="Times New Roman" w:hAnsi="Times New Roman" w:cs="Times New Roman"/>
          <w:b/>
          <w:bCs/>
          <w:kern w:val="0"/>
          <w:lang w:eastAsia="en-GB"/>
          <w14:ligatures w14:val="none"/>
        </w:rPr>
        <w:t>recurrent neural networks (RNNs)</w:t>
      </w:r>
      <w:r w:rsidRPr="00CE263B">
        <w:rPr>
          <w:rFonts w:ascii="Times New Roman" w:eastAsia="Times New Roman" w:hAnsi="Times New Roman" w:cs="Times New Roman"/>
          <w:kern w:val="0"/>
          <w:lang w:eastAsia="en-GB"/>
          <w14:ligatures w14:val="none"/>
        </w:rPr>
        <w:t xml:space="preserve">, and </w:t>
      </w:r>
      <w:r w:rsidRPr="00CE263B">
        <w:rPr>
          <w:rFonts w:ascii="Times New Roman" w:eastAsia="Times New Roman" w:hAnsi="Times New Roman" w:cs="Times New Roman"/>
          <w:b/>
          <w:bCs/>
          <w:kern w:val="0"/>
          <w:lang w:eastAsia="en-GB"/>
          <w14:ligatures w14:val="none"/>
        </w:rPr>
        <w:t>attention-based deep learning</w:t>
      </w:r>
      <w:r w:rsidRPr="00CE263B">
        <w:rPr>
          <w:rFonts w:ascii="Times New Roman" w:eastAsia="Times New Roman" w:hAnsi="Times New Roman" w:cs="Times New Roman"/>
          <w:kern w:val="0"/>
          <w:lang w:eastAsia="en-GB"/>
          <w14:ligatures w14:val="none"/>
        </w:rPr>
        <w:t>. LSTM models, introduced by Hochreiter and Schmidhuber (1997), address the vanishing gradient problem in standard RNNs, enabling the capture of long-range dependencies in sequential data. The Temporal Fusion Transformer, on the other hand, builds upon the Transformer architecture by integrating multi-head attention, gating mechanisms, and interpretable variable selection (Lim et al., 2021). These models align with the theoretical paradigm that complex, nonlinear systems</w:t>
      </w:r>
      <w:r>
        <w:rPr>
          <w:rFonts w:ascii="Times New Roman" w:eastAsia="Times New Roman" w:hAnsi="Times New Roman" w:cs="Times New Roman"/>
          <w:kern w:val="0"/>
          <w:lang w:eastAsia="en-GB"/>
          <w14:ligatures w14:val="none"/>
        </w:rPr>
        <w:t xml:space="preserve"> </w:t>
      </w:r>
      <w:r w:rsidRPr="00CE263B">
        <w:rPr>
          <w:rFonts w:ascii="Times New Roman" w:eastAsia="Times New Roman" w:hAnsi="Times New Roman" w:cs="Times New Roman"/>
          <w:kern w:val="0"/>
          <w:lang w:eastAsia="en-GB"/>
          <w14:ligatures w14:val="none"/>
        </w:rPr>
        <w:t>such as financial markets</w:t>
      </w:r>
      <w:r>
        <w:rPr>
          <w:rFonts w:ascii="Times New Roman" w:eastAsia="Times New Roman" w:hAnsi="Times New Roman" w:cs="Times New Roman"/>
          <w:kern w:val="0"/>
          <w:lang w:eastAsia="en-GB"/>
          <w14:ligatures w14:val="none"/>
        </w:rPr>
        <w:t xml:space="preserve"> </w:t>
      </w:r>
      <w:r w:rsidRPr="00CE263B">
        <w:rPr>
          <w:rFonts w:ascii="Times New Roman" w:eastAsia="Times New Roman" w:hAnsi="Times New Roman" w:cs="Times New Roman"/>
          <w:kern w:val="0"/>
          <w:lang w:eastAsia="en-GB"/>
          <w14:ligatures w14:val="none"/>
        </w:rPr>
        <w:lastRenderedPageBreak/>
        <w:t>require adaptive, data-driven representations rather than handcrafted features and static assumptions.</w:t>
      </w:r>
    </w:p>
    <w:p w:rsidR="00CE263B" w:rsidRPr="00CE263B" w:rsidRDefault="00CE263B" w:rsidP="00CE263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E263B">
        <w:rPr>
          <w:rFonts w:ascii="Times New Roman" w:eastAsia="Times New Roman" w:hAnsi="Times New Roman" w:cs="Times New Roman"/>
          <w:b/>
          <w:bCs/>
          <w:kern w:val="0"/>
          <w:sz w:val="27"/>
          <w:szCs w:val="27"/>
          <w:lang w:eastAsia="en-GB"/>
          <w14:ligatures w14:val="none"/>
        </w:rPr>
        <w:t>1.5 Importance of the Study</w:t>
      </w:r>
    </w:p>
    <w:p w:rsidR="00CE263B" w:rsidRPr="00CE263B" w:rsidRDefault="00CE263B" w:rsidP="00CE263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263B">
        <w:rPr>
          <w:rFonts w:ascii="Times New Roman" w:eastAsia="Times New Roman" w:hAnsi="Times New Roman" w:cs="Times New Roman"/>
          <w:kern w:val="0"/>
          <w:lang w:eastAsia="en-GB"/>
          <w14:ligatures w14:val="none"/>
        </w:rPr>
        <w:t xml:space="preserve">This research is significant for several reasons. First, it responds to an urgent need in the financial sector for more </w:t>
      </w:r>
      <w:r w:rsidRPr="00CE263B">
        <w:rPr>
          <w:rFonts w:ascii="Times New Roman" w:eastAsia="Times New Roman" w:hAnsi="Times New Roman" w:cs="Times New Roman"/>
          <w:b/>
          <w:bCs/>
          <w:kern w:val="0"/>
          <w:lang w:eastAsia="en-GB"/>
          <w14:ligatures w14:val="none"/>
        </w:rPr>
        <w:t>accurate and interpretable forecasting models</w:t>
      </w:r>
      <w:r w:rsidRPr="00CE263B">
        <w:rPr>
          <w:rFonts w:ascii="Times New Roman" w:eastAsia="Times New Roman" w:hAnsi="Times New Roman" w:cs="Times New Roman"/>
          <w:kern w:val="0"/>
          <w:lang w:eastAsia="en-GB"/>
          <w14:ligatures w14:val="none"/>
        </w:rPr>
        <w:t xml:space="preserve"> that can support decision-making under uncertainty. Second, by comparing two advanced deep learning techniques, it provides a </w:t>
      </w:r>
      <w:r w:rsidRPr="00CE263B">
        <w:rPr>
          <w:rFonts w:ascii="Times New Roman" w:eastAsia="Times New Roman" w:hAnsi="Times New Roman" w:cs="Times New Roman"/>
          <w:b/>
          <w:bCs/>
          <w:kern w:val="0"/>
          <w:lang w:eastAsia="en-GB"/>
          <w14:ligatures w14:val="none"/>
        </w:rPr>
        <w:t>methodological benchmark</w:t>
      </w:r>
      <w:r w:rsidRPr="00CE263B">
        <w:rPr>
          <w:rFonts w:ascii="Times New Roman" w:eastAsia="Times New Roman" w:hAnsi="Times New Roman" w:cs="Times New Roman"/>
          <w:kern w:val="0"/>
          <w:lang w:eastAsia="en-GB"/>
          <w14:ligatures w14:val="none"/>
        </w:rPr>
        <w:t xml:space="preserve"> for future forex prediction tasks. Third, the integration of explainability tools enhances the </w:t>
      </w:r>
      <w:r w:rsidRPr="00CE263B">
        <w:rPr>
          <w:rFonts w:ascii="Times New Roman" w:eastAsia="Times New Roman" w:hAnsi="Times New Roman" w:cs="Times New Roman"/>
          <w:b/>
          <w:bCs/>
          <w:kern w:val="0"/>
          <w:lang w:eastAsia="en-GB"/>
          <w14:ligatures w14:val="none"/>
        </w:rPr>
        <w:t>transparency and trustworthiness</w:t>
      </w:r>
      <w:r w:rsidRPr="00CE263B">
        <w:rPr>
          <w:rFonts w:ascii="Times New Roman" w:eastAsia="Times New Roman" w:hAnsi="Times New Roman" w:cs="Times New Roman"/>
          <w:kern w:val="0"/>
          <w:lang w:eastAsia="en-GB"/>
          <w14:ligatures w14:val="none"/>
        </w:rPr>
        <w:t xml:space="preserve"> of model outputs, an essential consideration in regulated domains like algorithmic trading and fintech compliance (Rudin, 2019).</w:t>
      </w:r>
    </w:p>
    <w:p w:rsidR="00CE263B" w:rsidRPr="00CE263B" w:rsidRDefault="00CE263B" w:rsidP="00CE263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CE263B">
        <w:rPr>
          <w:rFonts w:ascii="Times New Roman" w:eastAsia="Times New Roman" w:hAnsi="Times New Roman" w:cs="Times New Roman"/>
          <w:b/>
          <w:bCs/>
          <w:kern w:val="0"/>
          <w:sz w:val="27"/>
          <w:szCs w:val="27"/>
          <w:lang w:eastAsia="en-GB"/>
          <w14:ligatures w14:val="none"/>
        </w:rPr>
        <w:t>1.6 Scope and Limitations of the Study</w:t>
      </w:r>
    </w:p>
    <w:p w:rsidR="00F33C0C" w:rsidRDefault="00CE263B" w:rsidP="00CE263B">
      <w:pPr>
        <w:spacing w:before="100" w:beforeAutospacing="1" w:after="100" w:afterAutospacing="1" w:line="240" w:lineRule="auto"/>
        <w:rPr>
          <w:rFonts w:ascii="Times New Roman" w:eastAsia="Times New Roman" w:hAnsi="Times New Roman" w:cs="Times New Roman"/>
          <w:kern w:val="0"/>
          <w:lang w:eastAsia="en-GB"/>
          <w14:ligatures w14:val="none"/>
        </w:rPr>
      </w:pPr>
      <w:r w:rsidRPr="00CE263B">
        <w:rPr>
          <w:rFonts w:ascii="Times New Roman" w:eastAsia="Times New Roman" w:hAnsi="Times New Roman" w:cs="Times New Roman"/>
          <w:kern w:val="0"/>
          <w:lang w:eastAsia="en-GB"/>
          <w14:ligatures w14:val="none"/>
        </w:rPr>
        <w:t xml:space="preserve">The study is restricted to </w:t>
      </w:r>
      <w:r w:rsidRPr="00CE263B">
        <w:rPr>
          <w:rFonts w:ascii="Times New Roman" w:eastAsia="Times New Roman" w:hAnsi="Times New Roman" w:cs="Times New Roman"/>
          <w:b/>
          <w:bCs/>
          <w:kern w:val="0"/>
          <w:lang w:eastAsia="en-GB"/>
          <w14:ligatures w14:val="none"/>
        </w:rPr>
        <w:t>daily exchange rate data</w:t>
      </w:r>
      <w:r w:rsidRPr="00CE263B">
        <w:rPr>
          <w:rFonts w:ascii="Times New Roman" w:eastAsia="Times New Roman" w:hAnsi="Times New Roman" w:cs="Times New Roman"/>
          <w:kern w:val="0"/>
          <w:lang w:eastAsia="en-GB"/>
          <w14:ligatures w14:val="none"/>
        </w:rPr>
        <w:t xml:space="preserve"> for the EUR/USD currency pair, covering the period from January 2010 to </w:t>
      </w:r>
      <w:r>
        <w:rPr>
          <w:rFonts w:ascii="Times New Roman" w:eastAsia="Times New Roman" w:hAnsi="Times New Roman" w:cs="Times New Roman"/>
          <w:kern w:val="0"/>
          <w:lang w:eastAsia="en-GB"/>
          <w14:ligatures w14:val="none"/>
        </w:rPr>
        <w:t>June</w:t>
      </w:r>
      <w:r w:rsidRPr="00CE263B">
        <w:rPr>
          <w:rFonts w:ascii="Times New Roman" w:eastAsia="Times New Roman" w:hAnsi="Times New Roman" w:cs="Times New Roman"/>
          <w:kern w:val="0"/>
          <w:lang w:eastAsia="en-GB"/>
          <w14:ligatures w14:val="none"/>
        </w:rPr>
        <w:t xml:space="preserve"> 2025. Only technical indicators derived from price data are used; macroeconomic indicators, sentiment analysis, or real-time news events are excluded to maintain a manageable scope. The models will be trained on historical data, and while backtesting will be performed, real-time deployment is outside the scope of this research.</w:t>
      </w:r>
    </w:p>
    <w:p w:rsidR="00F33C0C" w:rsidRDefault="00F33C0C">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br w:type="page"/>
      </w:r>
    </w:p>
    <w:p w:rsidR="00F33C0C" w:rsidRPr="00F33C0C" w:rsidRDefault="00F33C0C" w:rsidP="00F33C0C">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F33C0C">
        <w:rPr>
          <w:rFonts w:ascii="Times New Roman" w:eastAsia="Times New Roman" w:hAnsi="Times New Roman" w:cs="Times New Roman"/>
          <w:b/>
          <w:bCs/>
          <w:kern w:val="0"/>
          <w:sz w:val="36"/>
          <w:szCs w:val="36"/>
          <w:lang w:eastAsia="en-GB"/>
          <w14:ligatures w14:val="none"/>
        </w:rPr>
        <w:lastRenderedPageBreak/>
        <w:t>2. Literature Review</w:t>
      </w:r>
    </w:p>
    <w:p w:rsidR="00F33C0C" w:rsidRPr="00F33C0C" w:rsidRDefault="00F33C0C" w:rsidP="00F33C0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3C0C">
        <w:rPr>
          <w:rFonts w:ascii="Times New Roman" w:eastAsia="Times New Roman" w:hAnsi="Times New Roman" w:cs="Times New Roman"/>
          <w:b/>
          <w:bCs/>
          <w:kern w:val="0"/>
          <w:sz w:val="27"/>
          <w:szCs w:val="27"/>
          <w:lang w:eastAsia="en-GB"/>
          <w14:ligatures w14:val="none"/>
        </w:rPr>
        <w:t>2.1 Introduction</w:t>
      </w:r>
    </w:p>
    <w:p w:rsidR="00F33C0C" w:rsidRPr="00F33C0C" w:rsidRDefault="00F33C0C" w:rsidP="00F33C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3C0C">
        <w:rPr>
          <w:rFonts w:ascii="Times New Roman" w:eastAsia="Times New Roman" w:hAnsi="Times New Roman" w:cs="Times New Roman"/>
          <w:kern w:val="0"/>
          <w:lang w:eastAsia="en-GB"/>
          <w14:ligatures w14:val="none"/>
        </w:rPr>
        <w:t>Forecasting financial time series, especially foreign exchange (forex) rates, has been a long-standing challenge in computational finance and econometrics. The EUR/USD currency pair, being the most liquid and traded globally, is frequently modeled using time series and machine learning techniques. This literature review critically evaluates the evolution of forecasting methodologies from statistical models to deep learning, with a focus on Long Short-Term Memory (LSTM) networks and Transformer-based architectures such as the Temporal Fusion Transformer (TFT). Special attention is given to model performance, interpretability, and applicability to real-world trading environments.</w:t>
      </w:r>
    </w:p>
    <w:p w:rsidR="00F33C0C" w:rsidRPr="00F33C0C" w:rsidRDefault="00F33C0C" w:rsidP="00F33C0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3C0C">
        <w:rPr>
          <w:rFonts w:ascii="Times New Roman" w:eastAsia="Times New Roman" w:hAnsi="Times New Roman" w:cs="Times New Roman"/>
          <w:b/>
          <w:bCs/>
          <w:kern w:val="0"/>
          <w:sz w:val="27"/>
          <w:szCs w:val="27"/>
          <w:lang w:eastAsia="en-GB"/>
          <w14:ligatures w14:val="none"/>
        </w:rPr>
        <w:t>2.2 Traditional Approaches to Forex Forecasting</w:t>
      </w:r>
    </w:p>
    <w:p w:rsidR="00F33C0C" w:rsidRPr="00F33C0C" w:rsidRDefault="00F33C0C" w:rsidP="00F33C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3C0C">
        <w:rPr>
          <w:rFonts w:ascii="Times New Roman" w:eastAsia="Times New Roman" w:hAnsi="Times New Roman" w:cs="Times New Roman"/>
          <w:kern w:val="0"/>
          <w:lang w:eastAsia="en-GB"/>
          <w14:ligatures w14:val="none"/>
        </w:rPr>
        <w:t xml:space="preserve">Early approaches to exchange rate prediction were grounded in </w:t>
      </w:r>
      <w:r w:rsidRPr="00F33C0C">
        <w:rPr>
          <w:rFonts w:ascii="Times New Roman" w:eastAsia="Times New Roman" w:hAnsi="Times New Roman" w:cs="Times New Roman"/>
          <w:b/>
          <w:bCs/>
          <w:kern w:val="0"/>
          <w:lang w:eastAsia="en-GB"/>
          <w14:ligatures w14:val="none"/>
        </w:rPr>
        <w:t>linear statistical models</w:t>
      </w:r>
      <w:r w:rsidRPr="00F33C0C">
        <w:rPr>
          <w:rFonts w:ascii="Times New Roman" w:eastAsia="Times New Roman" w:hAnsi="Times New Roman" w:cs="Times New Roman"/>
          <w:kern w:val="0"/>
          <w:lang w:eastAsia="en-GB"/>
          <w14:ligatures w14:val="none"/>
        </w:rPr>
        <w:t xml:space="preserve"> such as ARIMA (Box &amp; Jenkins, 2015), GARCH (Engle, 1982), and VAR models. These models assume stationarity and linear dependencies, which rarely hold in volatile, nonlinear systems such as forex markets (Zhang &amp; Zhou, 2020). While models like ARIMA can model short-term autocorrelation, they fail to capture nonlinearity, regime shifts, or chaotic patterns—especially during macroeconomic shocks or high-frequency trading intervals.</w:t>
      </w:r>
    </w:p>
    <w:p w:rsidR="00F33C0C" w:rsidRPr="00F33C0C" w:rsidRDefault="00F33C0C" w:rsidP="00F33C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3C0C">
        <w:rPr>
          <w:rFonts w:ascii="Times New Roman" w:eastAsia="Times New Roman" w:hAnsi="Times New Roman" w:cs="Times New Roman"/>
          <w:kern w:val="0"/>
          <w:lang w:eastAsia="en-GB"/>
          <w14:ligatures w14:val="none"/>
        </w:rPr>
        <w:t xml:space="preserve">Furthermore, traditional models often rely on </w:t>
      </w:r>
      <w:r w:rsidRPr="00F33C0C">
        <w:rPr>
          <w:rFonts w:ascii="Times New Roman" w:eastAsia="Times New Roman" w:hAnsi="Times New Roman" w:cs="Times New Roman"/>
          <w:b/>
          <w:bCs/>
          <w:kern w:val="0"/>
          <w:lang w:eastAsia="en-GB"/>
          <w14:ligatures w14:val="none"/>
        </w:rPr>
        <w:t>manually selected features</w:t>
      </w:r>
      <w:r w:rsidRPr="00F33C0C">
        <w:rPr>
          <w:rFonts w:ascii="Times New Roman" w:eastAsia="Times New Roman" w:hAnsi="Times New Roman" w:cs="Times New Roman"/>
          <w:kern w:val="0"/>
          <w:lang w:eastAsia="en-GB"/>
          <w14:ligatures w14:val="none"/>
        </w:rPr>
        <w:t>, limiting their adaptability. For instance, GARCH models, while suitable for volatility clustering, require careful specification and cannot capture long-term memory or nonlinear dynamics in the price series (Bollerslev, 1986). This has led to a shift towards machine learning techniques capable of learning from raw and engineered features.</w:t>
      </w:r>
    </w:p>
    <w:p w:rsidR="00F33C0C" w:rsidRPr="00F33C0C" w:rsidRDefault="00F33C0C" w:rsidP="00F33C0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3C0C">
        <w:rPr>
          <w:rFonts w:ascii="Times New Roman" w:eastAsia="Times New Roman" w:hAnsi="Times New Roman" w:cs="Times New Roman"/>
          <w:b/>
          <w:bCs/>
          <w:kern w:val="0"/>
          <w:sz w:val="27"/>
          <w:szCs w:val="27"/>
          <w:lang w:eastAsia="en-GB"/>
          <w14:ligatures w14:val="none"/>
        </w:rPr>
        <w:t>2.3 Machine Learning and LSTM-Based Forecasting</w:t>
      </w:r>
    </w:p>
    <w:p w:rsidR="00F33C0C" w:rsidRPr="00F33C0C" w:rsidRDefault="00F33C0C" w:rsidP="00F33C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3C0C">
        <w:rPr>
          <w:rFonts w:ascii="Times New Roman" w:eastAsia="Times New Roman" w:hAnsi="Times New Roman" w:cs="Times New Roman"/>
          <w:kern w:val="0"/>
          <w:lang w:eastAsia="en-GB"/>
          <w14:ligatures w14:val="none"/>
        </w:rPr>
        <w:t>Machine learning models such as Support Vector Machines (SVM), Random Forests, and Gradient Boosting Machines (GBMs) have been applied to exchange rate prediction with modest success (Chen et al., 2019). However, these models lack inherent support for sequence modeling and often require feature engineering or windowing to process time-dependent data.</w:t>
      </w:r>
    </w:p>
    <w:p w:rsidR="00F33C0C" w:rsidRPr="00F33C0C" w:rsidRDefault="00F33C0C" w:rsidP="00F33C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3C0C">
        <w:rPr>
          <w:rFonts w:ascii="Times New Roman" w:eastAsia="Times New Roman" w:hAnsi="Times New Roman" w:cs="Times New Roman"/>
          <w:b/>
          <w:bCs/>
          <w:kern w:val="0"/>
          <w:lang w:eastAsia="en-GB"/>
          <w14:ligatures w14:val="none"/>
        </w:rPr>
        <w:t>Recurrent Neural Networks (RNNs)</w:t>
      </w:r>
      <w:r w:rsidRPr="00F33C0C">
        <w:rPr>
          <w:rFonts w:ascii="Times New Roman" w:eastAsia="Times New Roman" w:hAnsi="Times New Roman" w:cs="Times New Roman"/>
          <w:kern w:val="0"/>
          <w:lang w:eastAsia="en-GB"/>
          <w14:ligatures w14:val="none"/>
        </w:rPr>
        <w:t xml:space="preserve">, especially </w:t>
      </w:r>
      <w:r w:rsidRPr="00F33C0C">
        <w:rPr>
          <w:rFonts w:ascii="Times New Roman" w:eastAsia="Times New Roman" w:hAnsi="Times New Roman" w:cs="Times New Roman"/>
          <w:b/>
          <w:bCs/>
          <w:kern w:val="0"/>
          <w:lang w:eastAsia="en-GB"/>
          <w14:ligatures w14:val="none"/>
        </w:rPr>
        <w:t>LSTM</w:t>
      </w:r>
      <w:r w:rsidRPr="00F33C0C">
        <w:rPr>
          <w:rFonts w:ascii="Times New Roman" w:eastAsia="Times New Roman" w:hAnsi="Times New Roman" w:cs="Times New Roman"/>
          <w:kern w:val="0"/>
          <w:lang w:eastAsia="en-GB"/>
          <w14:ligatures w14:val="none"/>
        </w:rPr>
        <w:t xml:space="preserve"> models introduced by Hochreiter and Schmidhuber (1997), were a breakthrough in modeling sequential financial data. LSTMs address the vanishing gradient problem and retain long-range temporal information, making them suitable for financial forecasting tasks (Fischer &amp; Krauss, 2018). Their applications to forex include daily prediction of closing prices, trend detection, and volatility forecasting. Studies have demonstrated that LSTM models outperform traditional models and even feed-forward neural networks in capturing long-term dependencies and nonlinear trends in exchange rate movements (Guresen et al., 2011; Nelson et al., 2017).</w:t>
      </w:r>
    </w:p>
    <w:p w:rsidR="00F33C0C" w:rsidRPr="00F33C0C" w:rsidRDefault="00F33C0C" w:rsidP="00F33C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3C0C">
        <w:rPr>
          <w:rFonts w:ascii="Times New Roman" w:eastAsia="Times New Roman" w:hAnsi="Times New Roman" w:cs="Times New Roman"/>
          <w:kern w:val="0"/>
          <w:lang w:eastAsia="en-GB"/>
          <w14:ligatures w14:val="none"/>
        </w:rPr>
        <w:t xml:space="preserve">However, </w:t>
      </w:r>
      <w:r w:rsidRPr="00F33C0C">
        <w:rPr>
          <w:rFonts w:ascii="Times New Roman" w:eastAsia="Times New Roman" w:hAnsi="Times New Roman" w:cs="Times New Roman"/>
          <w:b/>
          <w:bCs/>
          <w:kern w:val="0"/>
          <w:lang w:eastAsia="en-GB"/>
          <w14:ligatures w14:val="none"/>
        </w:rPr>
        <w:t>LSTMs lack interpretability</w:t>
      </w:r>
      <w:r w:rsidRPr="00F33C0C">
        <w:rPr>
          <w:rFonts w:ascii="Times New Roman" w:eastAsia="Times New Roman" w:hAnsi="Times New Roman" w:cs="Times New Roman"/>
          <w:kern w:val="0"/>
          <w:lang w:eastAsia="en-GB"/>
          <w14:ligatures w14:val="none"/>
        </w:rPr>
        <w:t>, which limits their adoption in financial institutions where transparency and model rationale are critical. Additionally, LSTMs can suffer from instability when applied to high-noise or unbalanced datasets without careful regularization and tuning.</w:t>
      </w:r>
    </w:p>
    <w:p w:rsidR="00F33C0C" w:rsidRPr="00F33C0C" w:rsidRDefault="00F33C0C" w:rsidP="00F33C0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3C0C">
        <w:rPr>
          <w:rFonts w:ascii="Times New Roman" w:eastAsia="Times New Roman" w:hAnsi="Times New Roman" w:cs="Times New Roman"/>
          <w:b/>
          <w:bCs/>
          <w:kern w:val="0"/>
          <w:sz w:val="27"/>
          <w:szCs w:val="27"/>
          <w:lang w:eastAsia="en-GB"/>
          <w14:ligatures w14:val="none"/>
        </w:rPr>
        <w:lastRenderedPageBreak/>
        <w:t>2.4 Tran</w:t>
      </w:r>
      <w:r>
        <w:rPr>
          <w:rFonts w:ascii="Times New Roman" w:eastAsia="Times New Roman" w:hAnsi="Times New Roman" w:cs="Times New Roman"/>
          <w:b/>
          <w:bCs/>
          <w:kern w:val="0"/>
          <w:sz w:val="27"/>
          <w:szCs w:val="27"/>
          <w:lang w:eastAsia="en-GB"/>
          <w14:ligatures w14:val="none"/>
        </w:rPr>
        <w:t>s</w:t>
      </w:r>
      <w:r w:rsidRPr="00F33C0C">
        <w:rPr>
          <w:rFonts w:ascii="Times New Roman" w:eastAsia="Times New Roman" w:hAnsi="Times New Roman" w:cs="Times New Roman"/>
          <w:b/>
          <w:bCs/>
          <w:kern w:val="0"/>
          <w:sz w:val="27"/>
          <w:szCs w:val="27"/>
          <w:lang w:eastAsia="en-GB"/>
          <w14:ligatures w14:val="none"/>
        </w:rPr>
        <w:t>former-Based Forecasting and the Rise of Attention</w:t>
      </w:r>
    </w:p>
    <w:p w:rsidR="00F33C0C" w:rsidRPr="00F33C0C" w:rsidRDefault="00F33C0C" w:rsidP="00F33C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3C0C">
        <w:rPr>
          <w:rFonts w:ascii="Times New Roman" w:eastAsia="Times New Roman" w:hAnsi="Times New Roman" w:cs="Times New Roman"/>
          <w:kern w:val="0"/>
          <w:lang w:eastAsia="en-GB"/>
          <w14:ligatures w14:val="none"/>
        </w:rPr>
        <w:t xml:space="preserve">Recent advancements in natural language processing have led to the adoption of </w:t>
      </w:r>
      <w:r w:rsidRPr="00F33C0C">
        <w:rPr>
          <w:rFonts w:ascii="Times New Roman" w:eastAsia="Times New Roman" w:hAnsi="Times New Roman" w:cs="Times New Roman"/>
          <w:b/>
          <w:bCs/>
          <w:kern w:val="0"/>
          <w:lang w:eastAsia="en-GB"/>
          <w14:ligatures w14:val="none"/>
        </w:rPr>
        <w:t>attention mechanisms</w:t>
      </w:r>
      <w:r w:rsidRPr="00F33C0C">
        <w:rPr>
          <w:rFonts w:ascii="Times New Roman" w:eastAsia="Times New Roman" w:hAnsi="Times New Roman" w:cs="Times New Roman"/>
          <w:kern w:val="0"/>
          <w:lang w:eastAsia="en-GB"/>
          <w14:ligatures w14:val="none"/>
        </w:rPr>
        <w:t xml:space="preserve">, particularly in </w:t>
      </w:r>
      <w:r w:rsidRPr="00F33C0C">
        <w:rPr>
          <w:rFonts w:ascii="Times New Roman" w:eastAsia="Times New Roman" w:hAnsi="Times New Roman" w:cs="Times New Roman"/>
          <w:b/>
          <w:bCs/>
          <w:kern w:val="0"/>
          <w:lang w:eastAsia="en-GB"/>
          <w14:ligatures w14:val="none"/>
        </w:rPr>
        <w:t>Transformer architectures</w:t>
      </w:r>
      <w:r w:rsidRPr="00F33C0C">
        <w:rPr>
          <w:rFonts w:ascii="Times New Roman" w:eastAsia="Times New Roman" w:hAnsi="Times New Roman" w:cs="Times New Roman"/>
          <w:kern w:val="0"/>
          <w:lang w:eastAsia="en-GB"/>
          <w14:ligatures w14:val="none"/>
        </w:rPr>
        <w:t xml:space="preserve"> (Vaswani et al., 2017). These models forgo recurrence altogether and rely on </w:t>
      </w:r>
      <w:r w:rsidRPr="00F33C0C">
        <w:rPr>
          <w:rFonts w:ascii="Times New Roman" w:eastAsia="Times New Roman" w:hAnsi="Times New Roman" w:cs="Times New Roman"/>
          <w:b/>
          <w:bCs/>
          <w:kern w:val="0"/>
          <w:lang w:eastAsia="en-GB"/>
          <w14:ligatures w14:val="none"/>
        </w:rPr>
        <w:t>self-attention</w:t>
      </w:r>
      <w:r w:rsidRPr="00F33C0C">
        <w:rPr>
          <w:rFonts w:ascii="Times New Roman" w:eastAsia="Times New Roman" w:hAnsi="Times New Roman" w:cs="Times New Roman"/>
          <w:kern w:val="0"/>
          <w:lang w:eastAsia="en-GB"/>
          <w14:ligatures w14:val="none"/>
        </w:rPr>
        <w:t xml:space="preserve"> to model dependencies across the entire input sequence, enabling better parallelization and long-range context awareness.</w:t>
      </w:r>
    </w:p>
    <w:p w:rsidR="00F33C0C" w:rsidRPr="00F33C0C" w:rsidRDefault="00F33C0C" w:rsidP="00F33C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3C0C">
        <w:rPr>
          <w:rFonts w:ascii="Times New Roman" w:eastAsia="Times New Roman" w:hAnsi="Times New Roman" w:cs="Times New Roman"/>
          <w:kern w:val="0"/>
          <w:lang w:eastAsia="en-GB"/>
          <w14:ligatures w14:val="none"/>
        </w:rPr>
        <w:t xml:space="preserve">In the context of time series forecasting, </w:t>
      </w:r>
      <w:r w:rsidRPr="00F33C0C">
        <w:rPr>
          <w:rFonts w:ascii="Times New Roman" w:eastAsia="Times New Roman" w:hAnsi="Times New Roman" w:cs="Times New Roman"/>
          <w:b/>
          <w:bCs/>
          <w:kern w:val="0"/>
          <w:lang w:eastAsia="en-GB"/>
          <w14:ligatures w14:val="none"/>
        </w:rPr>
        <w:t>Temporal Fusion Transformers (TFT)</w:t>
      </w:r>
      <w:r w:rsidRPr="00F33C0C">
        <w:rPr>
          <w:rFonts w:ascii="Times New Roman" w:eastAsia="Times New Roman" w:hAnsi="Times New Roman" w:cs="Times New Roman"/>
          <w:kern w:val="0"/>
          <w:lang w:eastAsia="en-GB"/>
          <w14:ligatures w14:val="none"/>
        </w:rPr>
        <w:t xml:space="preserve"> (Lim et al., 2021) extend the Transformer framework by incorporating </w:t>
      </w:r>
      <w:r w:rsidRPr="00F33C0C">
        <w:rPr>
          <w:rFonts w:ascii="Times New Roman" w:eastAsia="Times New Roman" w:hAnsi="Times New Roman" w:cs="Times New Roman"/>
          <w:b/>
          <w:bCs/>
          <w:kern w:val="0"/>
          <w:lang w:eastAsia="en-GB"/>
          <w14:ligatures w14:val="none"/>
        </w:rPr>
        <w:t>interpretable variable selection</w:t>
      </w:r>
      <w:r w:rsidRPr="00F33C0C">
        <w:rPr>
          <w:rFonts w:ascii="Times New Roman" w:eastAsia="Times New Roman" w:hAnsi="Times New Roman" w:cs="Times New Roman"/>
          <w:kern w:val="0"/>
          <w:lang w:eastAsia="en-GB"/>
          <w14:ligatures w14:val="none"/>
        </w:rPr>
        <w:t xml:space="preserve">, </w:t>
      </w:r>
      <w:r w:rsidRPr="00F33C0C">
        <w:rPr>
          <w:rFonts w:ascii="Times New Roman" w:eastAsia="Times New Roman" w:hAnsi="Times New Roman" w:cs="Times New Roman"/>
          <w:b/>
          <w:bCs/>
          <w:kern w:val="0"/>
          <w:lang w:eastAsia="en-GB"/>
          <w14:ligatures w14:val="none"/>
        </w:rPr>
        <w:t>gating mechanisms</w:t>
      </w:r>
      <w:r w:rsidRPr="00F33C0C">
        <w:rPr>
          <w:rFonts w:ascii="Times New Roman" w:eastAsia="Times New Roman" w:hAnsi="Times New Roman" w:cs="Times New Roman"/>
          <w:kern w:val="0"/>
          <w:lang w:eastAsia="en-GB"/>
          <w14:ligatures w14:val="none"/>
        </w:rPr>
        <w:t xml:space="preserve">, and </w:t>
      </w:r>
      <w:r w:rsidRPr="00F33C0C">
        <w:rPr>
          <w:rFonts w:ascii="Times New Roman" w:eastAsia="Times New Roman" w:hAnsi="Times New Roman" w:cs="Times New Roman"/>
          <w:b/>
          <w:bCs/>
          <w:kern w:val="0"/>
          <w:lang w:eastAsia="en-GB"/>
          <w14:ligatures w14:val="none"/>
        </w:rPr>
        <w:t>multi-horizon forecasting</w:t>
      </w:r>
      <w:r w:rsidRPr="00F33C0C">
        <w:rPr>
          <w:rFonts w:ascii="Times New Roman" w:eastAsia="Times New Roman" w:hAnsi="Times New Roman" w:cs="Times New Roman"/>
          <w:kern w:val="0"/>
          <w:lang w:eastAsia="en-GB"/>
          <w14:ligatures w14:val="none"/>
        </w:rPr>
        <w:t>. TFT explicitly models known and observed inputs while preserving explainability through attention-based variable importance and time-specific contribution analysis.</w:t>
      </w:r>
    </w:p>
    <w:p w:rsidR="00F33C0C" w:rsidRPr="00F33C0C" w:rsidRDefault="00F33C0C" w:rsidP="00F33C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3C0C">
        <w:rPr>
          <w:rFonts w:ascii="Times New Roman" w:eastAsia="Times New Roman" w:hAnsi="Times New Roman" w:cs="Times New Roman"/>
          <w:kern w:val="0"/>
          <w:lang w:eastAsia="en-GB"/>
          <w14:ligatures w14:val="none"/>
        </w:rPr>
        <w:t xml:space="preserve">Empirical studies by Lim et al. (2021) and others have shown TFT outperforming both LSTM and traditional models in multiple domains, including electricity demand forecasting, retail sales, and traffic prediction. However, </w:t>
      </w:r>
      <w:r w:rsidRPr="00F33C0C">
        <w:rPr>
          <w:rFonts w:ascii="Times New Roman" w:eastAsia="Times New Roman" w:hAnsi="Times New Roman" w:cs="Times New Roman"/>
          <w:b/>
          <w:bCs/>
          <w:kern w:val="0"/>
          <w:lang w:eastAsia="en-GB"/>
          <w14:ligatures w14:val="none"/>
        </w:rPr>
        <w:t>applications to financial time series, particularly forex, remain limited</w:t>
      </w:r>
      <w:r w:rsidRPr="00F33C0C">
        <w:rPr>
          <w:rFonts w:ascii="Times New Roman" w:eastAsia="Times New Roman" w:hAnsi="Times New Roman" w:cs="Times New Roman"/>
          <w:kern w:val="0"/>
          <w:lang w:eastAsia="en-GB"/>
          <w14:ligatures w14:val="none"/>
        </w:rPr>
        <w:t xml:space="preserve"> in published academic literature—representing a key research gap this dissertation intends to fill.</w:t>
      </w:r>
    </w:p>
    <w:p w:rsidR="00F33C0C" w:rsidRPr="00F33C0C" w:rsidRDefault="00F33C0C" w:rsidP="00F33C0C">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F33C0C">
        <w:rPr>
          <w:rFonts w:ascii="Times New Roman" w:eastAsia="Times New Roman" w:hAnsi="Times New Roman" w:cs="Times New Roman"/>
          <w:b/>
          <w:bCs/>
          <w:kern w:val="0"/>
          <w:sz w:val="27"/>
          <w:szCs w:val="27"/>
          <w:lang w:eastAsia="en-GB"/>
          <w14:ligatures w14:val="none"/>
        </w:rPr>
        <w:t>2.5 Comparative Studies and Gaps</w:t>
      </w:r>
    </w:p>
    <w:p w:rsidR="00F33C0C" w:rsidRPr="00F33C0C" w:rsidRDefault="00F33C0C" w:rsidP="00F33C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3C0C">
        <w:rPr>
          <w:rFonts w:ascii="Times New Roman" w:eastAsia="Times New Roman" w:hAnsi="Times New Roman" w:cs="Times New Roman"/>
          <w:kern w:val="0"/>
          <w:lang w:eastAsia="en-GB"/>
          <w14:ligatures w14:val="none"/>
        </w:rPr>
        <w:t xml:space="preserve">While individual studies support LSTM (e.g., Fischer &amp; Krauss, 2018) or TFT (Lim et al., 2021) in isolation, </w:t>
      </w:r>
      <w:r w:rsidRPr="00F33C0C">
        <w:rPr>
          <w:rFonts w:ascii="Times New Roman" w:eastAsia="Times New Roman" w:hAnsi="Times New Roman" w:cs="Times New Roman"/>
          <w:b/>
          <w:bCs/>
          <w:kern w:val="0"/>
          <w:lang w:eastAsia="en-GB"/>
          <w14:ligatures w14:val="none"/>
        </w:rPr>
        <w:t>comparative studies between these models within the same experimental framework are sparse</w:t>
      </w:r>
      <w:r w:rsidRPr="00F33C0C">
        <w:rPr>
          <w:rFonts w:ascii="Times New Roman" w:eastAsia="Times New Roman" w:hAnsi="Times New Roman" w:cs="Times New Roman"/>
          <w:kern w:val="0"/>
          <w:lang w:eastAsia="en-GB"/>
          <w14:ligatures w14:val="none"/>
        </w:rPr>
        <w:t xml:space="preserve">—especially for forex data. Furthermore, most studies prioritize point prediction accuracy (e.g., RMSE, MAE) while neglecting </w:t>
      </w:r>
      <w:r w:rsidRPr="00F33C0C">
        <w:rPr>
          <w:rFonts w:ascii="Times New Roman" w:eastAsia="Times New Roman" w:hAnsi="Times New Roman" w:cs="Times New Roman"/>
          <w:b/>
          <w:bCs/>
          <w:kern w:val="0"/>
          <w:lang w:eastAsia="en-GB"/>
          <w14:ligatures w14:val="none"/>
        </w:rPr>
        <w:t>directional accuracy</w:t>
      </w:r>
      <w:r w:rsidRPr="00F33C0C">
        <w:rPr>
          <w:rFonts w:ascii="Times New Roman" w:eastAsia="Times New Roman" w:hAnsi="Times New Roman" w:cs="Times New Roman"/>
          <w:kern w:val="0"/>
          <w:lang w:eastAsia="en-GB"/>
          <w14:ligatures w14:val="none"/>
        </w:rPr>
        <w:t xml:space="preserve"> or </w:t>
      </w:r>
      <w:r w:rsidRPr="00F33C0C">
        <w:rPr>
          <w:rFonts w:ascii="Times New Roman" w:eastAsia="Times New Roman" w:hAnsi="Times New Roman" w:cs="Times New Roman"/>
          <w:b/>
          <w:bCs/>
          <w:kern w:val="0"/>
          <w:lang w:eastAsia="en-GB"/>
          <w14:ligatures w14:val="none"/>
        </w:rPr>
        <w:t>practical implications in trading decisions</w:t>
      </w:r>
      <w:r w:rsidRPr="00F33C0C">
        <w:rPr>
          <w:rFonts w:ascii="Times New Roman" w:eastAsia="Times New Roman" w:hAnsi="Times New Roman" w:cs="Times New Roman"/>
          <w:kern w:val="0"/>
          <w:lang w:eastAsia="en-GB"/>
          <w14:ligatures w14:val="none"/>
        </w:rPr>
        <w:t>.</w:t>
      </w:r>
    </w:p>
    <w:p w:rsidR="00F33C0C" w:rsidRDefault="00F33C0C" w:rsidP="00F33C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3C0C">
        <w:rPr>
          <w:rFonts w:ascii="Times New Roman" w:eastAsia="Times New Roman" w:hAnsi="Times New Roman" w:cs="Times New Roman"/>
          <w:kern w:val="0"/>
          <w:lang w:eastAsia="en-GB"/>
          <w14:ligatures w14:val="none"/>
        </w:rPr>
        <w:t xml:space="preserve">Additionally, the lack of focus on </w:t>
      </w:r>
      <w:r w:rsidRPr="00F33C0C">
        <w:rPr>
          <w:rFonts w:ascii="Times New Roman" w:eastAsia="Times New Roman" w:hAnsi="Times New Roman" w:cs="Times New Roman"/>
          <w:b/>
          <w:bCs/>
          <w:kern w:val="0"/>
          <w:lang w:eastAsia="en-GB"/>
          <w14:ligatures w14:val="none"/>
        </w:rPr>
        <w:t>model interpretability</w:t>
      </w:r>
      <w:r w:rsidRPr="00F33C0C">
        <w:rPr>
          <w:rFonts w:ascii="Times New Roman" w:eastAsia="Times New Roman" w:hAnsi="Times New Roman" w:cs="Times New Roman"/>
          <w:kern w:val="0"/>
          <w:lang w:eastAsia="en-GB"/>
          <w14:ligatures w14:val="none"/>
        </w:rPr>
        <w:t xml:space="preserve"> is a recurring issue in deep learning applications to finance. Only a few works (e.g., Lapuschkin et al., 2019) apply explainability tools like SHAP to financial forecasting, despite growing regulatory requirements (e.g., under the EU’s GDPR) that demand understandable and auditable model behavior.</w:t>
      </w:r>
    </w:p>
    <w:p w:rsidR="00F33C0C" w:rsidRPr="00F33C0C" w:rsidRDefault="00F33C0C" w:rsidP="00F33C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3C0C">
        <w:rPr>
          <w:rFonts w:ascii="Times New Roman" w:eastAsia="Times New Roman" w:hAnsi="Times New Roman" w:cs="Times New Roman"/>
          <w:b/>
          <w:bCs/>
          <w:kern w:val="0"/>
          <w:sz w:val="27"/>
          <w:szCs w:val="27"/>
          <w:lang w:eastAsia="en-GB"/>
          <w14:ligatures w14:val="none"/>
        </w:rPr>
        <w:t>2.6 Summary of Identified Gaps</w:t>
      </w:r>
    </w:p>
    <w:p w:rsidR="00F33C0C" w:rsidRPr="00F33C0C" w:rsidRDefault="00F33C0C" w:rsidP="00F33C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3C0C">
        <w:rPr>
          <w:rFonts w:ascii="Times New Roman" w:eastAsia="Times New Roman" w:hAnsi="Times New Roman" w:cs="Times New Roman"/>
          <w:kern w:val="0"/>
          <w:lang w:eastAsia="en-GB"/>
          <w14:ligatures w14:val="none"/>
        </w:rPr>
        <w:t>From the reviewed literature, key gaps are identified:</w:t>
      </w:r>
    </w:p>
    <w:p w:rsidR="00F33C0C" w:rsidRPr="00F33C0C" w:rsidRDefault="00F33C0C" w:rsidP="00F33C0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3C0C">
        <w:rPr>
          <w:rFonts w:ascii="Times New Roman" w:eastAsia="Times New Roman" w:hAnsi="Times New Roman" w:cs="Times New Roman"/>
          <w:kern w:val="0"/>
          <w:lang w:eastAsia="en-GB"/>
          <w14:ligatures w14:val="none"/>
        </w:rPr>
        <w:t xml:space="preserve">Lack of empirical comparisons between </w:t>
      </w:r>
      <w:r w:rsidRPr="00F33C0C">
        <w:rPr>
          <w:rFonts w:ascii="Times New Roman" w:eastAsia="Times New Roman" w:hAnsi="Times New Roman" w:cs="Times New Roman"/>
          <w:b/>
          <w:bCs/>
          <w:kern w:val="0"/>
          <w:lang w:eastAsia="en-GB"/>
          <w14:ligatures w14:val="none"/>
        </w:rPr>
        <w:t>LSTM and Transformer-based models</w:t>
      </w:r>
      <w:r w:rsidRPr="00F33C0C">
        <w:rPr>
          <w:rFonts w:ascii="Times New Roman" w:eastAsia="Times New Roman" w:hAnsi="Times New Roman" w:cs="Times New Roman"/>
          <w:kern w:val="0"/>
          <w:lang w:eastAsia="en-GB"/>
          <w14:ligatures w14:val="none"/>
        </w:rPr>
        <w:t xml:space="preserve"> for EUR/USD forecasting.</w:t>
      </w:r>
    </w:p>
    <w:p w:rsidR="00F33C0C" w:rsidRPr="00F33C0C" w:rsidRDefault="00F33C0C" w:rsidP="00F33C0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3C0C">
        <w:rPr>
          <w:rFonts w:ascii="Times New Roman" w:eastAsia="Times New Roman" w:hAnsi="Times New Roman" w:cs="Times New Roman"/>
          <w:kern w:val="0"/>
          <w:lang w:eastAsia="en-GB"/>
          <w14:ligatures w14:val="none"/>
        </w:rPr>
        <w:t xml:space="preserve">Insufficient focus on </w:t>
      </w:r>
      <w:r w:rsidRPr="00F33C0C">
        <w:rPr>
          <w:rFonts w:ascii="Times New Roman" w:eastAsia="Times New Roman" w:hAnsi="Times New Roman" w:cs="Times New Roman"/>
          <w:b/>
          <w:bCs/>
          <w:kern w:val="0"/>
          <w:lang w:eastAsia="en-GB"/>
          <w14:ligatures w14:val="none"/>
        </w:rPr>
        <w:t>model explainability</w:t>
      </w:r>
      <w:r w:rsidRPr="00F33C0C">
        <w:rPr>
          <w:rFonts w:ascii="Times New Roman" w:eastAsia="Times New Roman" w:hAnsi="Times New Roman" w:cs="Times New Roman"/>
          <w:kern w:val="0"/>
          <w:lang w:eastAsia="en-GB"/>
          <w14:ligatures w14:val="none"/>
        </w:rPr>
        <w:t xml:space="preserve"> using SHAP or attention-based techniques in forex contexts.</w:t>
      </w:r>
    </w:p>
    <w:p w:rsidR="00F33C0C" w:rsidRPr="00F33C0C" w:rsidRDefault="00F33C0C" w:rsidP="00F33C0C">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33C0C">
        <w:rPr>
          <w:rFonts w:ascii="Times New Roman" w:eastAsia="Times New Roman" w:hAnsi="Times New Roman" w:cs="Times New Roman"/>
          <w:kern w:val="0"/>
          <w:lang w:eastAsia="en-GB"/>
          <w14:ligatures w14:val="none"/>
        </w:rPr>
        <w:t xml:space="preserve">A bias toward evaluating only traditional statistical metrics, overlooking </w:t>
      </w:r>
      <w:r w:rsidRPr="00F33C0C">
        <w:rPr>
          <w:rFonts w:ascii="Times New Roman" w:eastAsia="Times New Roman" w:hAnsi="Times New Roman" w:cs="Times New Roman"/>
          <w:b/>
          <w:bCs/>
          <w:kern w:val="0"/>
          <w:lang w:eastAsia="en-GB"/>
          <w14:ligatures w14:val="none"/>
        </w:rPr>
        <w:t>trading relevance</w:t>
      </w:r>
      <w:r w:rsidRPr="00F33C0C">
        <w:rPr>
          <w:rFonts w:ascii="Times New Roman" w:eastAsia="Times New Roman" w:hAnsi="Times New Roman" w:cs="Times New Roman"/>
          <w:kern w:val="0"/>
          <w:lang w:eastAsia="en-GB"/>
          <w14:ligatures w14:val="none"/>
        </w:rPr>
        <w:t xml:space="preserve"> such as directional accuracy and volatility sensitivity.</w:t>
      </w:r>
    </w:p>
    <w:p w:rsidR="00DB71D7" w:rsidRDefault="00F33C0C" w:rsidP="00F33C0C">
      <w:pPr>
        <w:spacing w:before="100" w:beforeAutospacing="1" w:after="100" w:afterAutospacing="1" w:line="240" w:lineRule="auto"/>
        <w:rPr>
          <w:rFonts w:ascii="Times New Roman" w:eastAsia="Times New Roman" w:hAnsi="Times New Roman" w:cs="Times New Roman"/>
          <w:kern w:val="0"/>
          <w:lang w:eastAsia="en-GB"/>
          <w14:ligatures w14:val="none"/>
        </w:rPr>
      </w:pPr>
      <w:r w:rsidRPr="00F33C0C">
        <w:rPr>
          <w:rFonts w:ascii="Times New Roman" w:eastAsia="Times New Roman" w:hAnsi="Times New Roman" w:cs="Times New Roman"/>
          <w:kern w:val="0"/>
          <w:lang w:eastAsia="en-GB"/>
          <w14:ligatures w14:val="none"/>
        </w:rPr>
        <w:t xml:space="preserve">This dissertation proposes to address these gaps by developing a </w:t>
      </w:r>
      <w:r w:rsidRPr="00F33C0C">
        <w:rPr>
          <w:rFonts w:ascii="Times New Roman" w:eastAsia="Times New Roman" w:hAnsi="Times New Roman" w:cs="Times New Roman"/>
          <w:b/>
          <w:bCs/>
          <w:kern w:val="0"/>
          <w:lang w:eastAsia="en-GB"/>
          <w14:ligatures w14:val="none"/>
        </w:rPr>
        <w:t>comparative and interpretable deep learning framework</w:t>
      </w:r>
      <w:r w:rsidRPr="00F33C0C">
        <w:rPr>
          <w:rFonts w:ascii="Times New Roman" w:eastAsia="Times New Roman" w:hAnsi="Times New Roman" w:cs="Times New Roman"/>
          <w:kern w:val="0"/>
          <w:lang w:eastAsia="en-GB"/>
          <w14:ligatures w14:val="none"/>
        </w:rPr>
        <w:t xml:space="preserve"> specifically designed for forecasting the EUR/USD exchange rate using historical time series and technical indicators.</w:t>
      </w:r>
    </w:p>
    <w:p w:rsidR="00F457AE" w:rsidRDefault="00DB71D7" w:rsidP="00F457AE">
      <w:pPr>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br w:type="page"/>
      </w:r>
    </w:p>
    <w:p w:rsidR="00DB71D7" w:rsidRPr="00DB71D7" w:rsidRDefault="00DB71D7" w:rsidP="00DB71D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DB71D7">
        <w:rPr>
          <w:rFonts w:ascii="Times New Roman" w:eastAsia="Times New Roman" w:hAnsi="Times New Roman" w:cs="Times New Roman"/>
          <w:b/>
          <w:bCs/>
          <w:kern w:val="0"/>
          <w:sz w:val="36"/>
          <w:szCs w:val="36"/>
          <w:lang w:eastAsia="en-GB"/>
          <w14:ligatures w14:val="none"/>
        </w:rPr>
        <w:lastRenderedPageBreak/>
        <w:t>3. Methodology</w:t>
      </w:r>
    </w:p>
    <w:p w:rsidR="00F457AE" w:rsidRDefault="00F457AE" w:rsidP="00F457AE">
      <w:r>
        <w:t>This chapter outlines the experimental design for evaluating and comparing Long Short-Term Memory (LSTM) and Temporal Fusion Transformer (TFT) models for one-day-ahead forecasting of the EUR/USD exchange rate. The methodology includes data acquisition, preprocessing, feature engineering, model development, evaluation, and interpretation strategies, following accepted standards in time series forecasting research.</w:t>
      </w:r>
    </w:p>
    <w:p w:rsidR="00DB71D7" w:rsidRPr="00DB71D7" w:rsidRDefault="00DB71D7" w:rsidP="00DB71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B71D7">
        <w:rPr>
          <w:rFonts w:ascii="Times New Roman" w:eastAsia="Times New Roman" w:hAnsi="Times New Roman" w:cs="Times New Roman"/>
          <w:b/>
          <w:bCs/>
          <w:kern w:val="0"/>
          <w:sz w:val="27"/>
          <w:szCs w:val="27"/>
          <w:lang w:eastAsia="en-GB"/>
          <w14:ligatures w14:val="none"/>
        </w:rPr>
        <w:t>3.1 Data Collection</w:t>
      </w:r>
    </w:p>
    <w:p w:rsidR="00D91C22" w:rsidRDefault="00D91C22" w:rsidP="00D91C22">
      <w:r>
        <w:t xml:space="preserve">Daily historical OHLCV data for EUR/USD will be sourced from Yahoo Finance using the yfinance API. The study period spans from January 1, 2010, to </w:t>
      </w:r>
      <w:r>
        <w:t>June</w:t>
      </w:r>
      <w:r>
        <w:t xml:space="preserve"> 3</w:t>
      </w:r>
      <w:r>
        <w:t>0</w:t>
      </w:r>
      <w:r>
        <w:t>, 2025, allowing coverage across multiple economic cycles. The dataset includes Open, High, Low, Close, and Volume attributes.</w:t>
      </w:r>
    </w:p>
    <w:p w:rsidR="00DB71D7" w:rsidRPr="00DB71D7" w:rsidRDefault="00DB71D7" w:rsidP="00DB71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71D7">
        <w:rPr>
          <w:rFonts w:ascii="Times New Roman" w:eastAsia="Times New Roman" w:hAnsi="Times New Roman" w:cs="Times New Roman"/>
          <w:kern w:val="0"/>
          <w:lang w:eastAsia="en-GB"/>
          <w14:ligatures w14:val="none"/>
        </w:rPr>
        <w:t>Example of data acquisition using Python:</w:t>
      </w:r>
    </w:p>
    <w:p w:rsidR="00DB71D7" w:rsidRPr="00DB71D7" w:rsidRDefault="00DB71D7" w:rsidP="00DB7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B71D7">
        <w:rPr>
          <w:rFonts w:ascii="Courier New" w:eastAsia="Times New Roman" w:hAnsi="Courier New" w:cs="Courier New"/>
          <w:kern w:val="0"/>
          <w:sz w:val="20"/>
          <w:szCs w:val="20"/>
          <w:lang w:eastAsia="en-GB"/>
          <w14:ligatures w14:val="none"/>
        </w:rPr>
        <w:t>import yfinance as yf</w:t>
      </w:r>
    </w:p>
    <w:p w:rsidR="00DB71D7" w:rsidRPr="00DB71D7" w:rsidRDefault="00DB71D7" w:rsidP="00DB7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DB71D7">
        <w:rPr>
          <w:rFonts w:ascii="Courier New" w:eastAsia="Times New Roman" w:hAnsi="Courier New" w:cs="Courier New"/>
          <w:kern w:val="0"/>
          <w:sz w:val="20"/>
          <w:szCs w:val="20"/>
          <w:lang w:eastAsia="en-GB"/>
          <w14:ligatures w14:val="none"/>
        </w:rPr>
        <w:t>data = yf.download('EURUSD=X', start='2010-01-01', end='2025-05-31', interval='1d')</w:t>
      </w:r>
    </w:p>
    <w:p w:rsidR="00DB71D7" w:rsidRPr="00DB71D7" w:rsidRDefault="00DB71D7" w:rsidP="00DB71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B71D7">
        <w:rPr>
          <w:rFonts w:ascii="Times New Roman" w:eastAsia="Times New Roman" w:hAnsi="Times New Roman" w:cs="Times New Roman"/>
          <w:b/>
          <w:bCs/>
          <w:kern w:val="0"/>
          <w:sz w:val="27"/>
          <w:szCs w:val="27"/>
          <w:lang w:eastAsia="en-GB"/>
          <w14:ligatures w14:val="none"/>
        </w:rPr>
        <w:t>3.2 Data Preprocessing</w:t>
      </w:r>
    </w:p>
    <w:p w:rsidR="00DB71D7" w:rsidRPr="00DB71D7" w:rsidRDefault="00DB71D7" w:rsidP="00DB71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71D7">
        <w:rPr>
          <w:rFonts w:ascii="Times New Roman" w:eastAsia="Times New Roman" w:hAnsi="Times New Roman" w:cs="Times New Roman"/>
          <w:kern w:val="0"/>
          <w:lang w:eastAsia="en-GB"/>
          <w14:ligatures w14:val="none"/>
        </w:rPr>
        <w:t>Preprocessing will involve several crucial steps to prepare the data for modeling:</w:t>
      </w:r>
    </w:p>
    <w:p w:rsidR="00DB71D7" w:rsidRPr="00DB71D7" w:rsidRDefault="00DB71D7" w:rsidP="00DB71D7">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71D7">
        <w:rPr>
          <w:rFonts w:ascii="Times New Roman" w:eastAsia="Times New Roman" w:hAnsi="Times New Roman" w:cs="Times New Roman"/>
          <w:kern w:val="0"/>
          <w:lang w:eastAsia="en-GB"/>
          <w14:ligatures w14:val="none"/>
        </w:rPr>
        <w:t>Handling Missing Values: Forward-fill imputation or linear interpolation for minimal gaps.</w:t>
      </w:r>
    </w:p>
    <w:p w:rsidR="00DB71D7" w:rsidRPr="00DB71D7" w:rsidRDefault="00DB71D7" w:rsidP="00DB71D7">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71D7">
        <w:rPr>
          <w:rFonts w:ascii="Times New Roman" w:eastAsia="Times New Roman" w:hAnsi="Times New Roman" w:cs="Times New Roman"/>
          <w:kern w:val="0"/>
          <w:lang w:eastAsia="en-GB"/>
          <w14:ligatures w14:val="none"/>
        </w:rPr>
        <w:t>Normalization: Scaling using min-max normalization or standardization (z-score).</w:t>
      </w:r>
    </w:p>
    <w:p w:rsidR="00DB71D7" w:rsidRPr="00DB71D7" w:rsidRDefault="00DB71D7" w:rsidP="00DB71D7">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71D7">
        <w:rPr>
          <w:rFonts w:ascii="Times New Roman" w:eastAsia="Times New Roman" w:hAnsi="Times New Roman" w:cs="Times New Roman"/>
          <w:kern w:val="0"/>
          <w:lang w:eastAsia="en-GB"/>
          <w14:ligatures w14:val="none"/>
        </w:rPr>
        <w:t>Outlier Detection and Correction: Implemented via robust statistical methods like Z-score or IQR filtering.</w:t>
      </w:r>
    </w:p>
    <w:p w:rsidR="00DB71D7" w:rsidRPr="00DB71D7" w:rsidRDefault="00DB71D7" w:rsidP="00DB71D7">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71D7">
        <w:rPr>
          <w:rFonts w:ascii="Times New Roman" w:eastAsia="Times New Roman" w:hAnsi="Times New Roman" w:cs="Times New Roman"/>
          <w:kern w:val="0"/>
          <w:lang w:eastAsia="en-GB"/>
          <w14:ligatures w14:val="none"/>
        </w:rPr>
        <w:t>Train-Test Split: Time-based split to prevent data leakage, with training data covering 2010–2022, validation data for model tuning (2023), and a test set (2024–2025).</w:t>
      </w:r>
    </w:p>
    <w:p w:rsidR="00DB71D7" w:rsidRDefault="00DB71D7" w:rsidP="00DB71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B71D7">
        <w:rPr>
          <w:rFonts w:ascii="Times New Roman" w:eastAsia="Times New Roman" w:hAnsi="Times New Roman" w:cs="Times New Roman"/>
          <w:b/>
          <w:bCs/>
          <w:kern w:val="0"/>
          <w:sz w:val="27"/>
          <w:szCs w:val="27"/>
          <w:lang w:eastAsia="en-GB"/>
          <w14:ligatures w14:val="none"/>
        </w:rPr>
        <w:t>3.3 Feature Engineering</w:t>
      </w:r>
    </w:p>
    <w:p w:rsidR="00D91C22" w:rsidRPr="00DB71D7" w:rsidRDefault="00D91C22" w:rsidP="00D91C22">
      <w:r>
        <w:t>The following feature categories and examples will be used to enhance model performance:</w:t>
      </w:r>
    </w:p>
    <w:tbl>
      <w:tblPr>
        <w:tblStyle w:val="LightGrid-Accent1"/>
        <w:tblW w:w="0" w:type="auto"/>
        <w:tblLook w:val="04A0" w:firstRow="1" w:lastRow="0" w:firstColumn="1" w:lastColumn="0" w:noHBand="0" w:noVBand="1"/>
      </w:tblPr>
      <w:tblGrid>
        <w:gridCol w:w="2880"/>
        <w:gridCol w:w="2880"/>
        <w:gridCol w:w="2880"/>
      </w:tblGrid>
      <w:tr w:rsidR="00D91C22" w:rsidTr="009116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D91C22" w:rsidRDefault="00D91C22" w:rsidP="0091168E">
            <w:r>
              <w:t>Feature Category</w:t>
            </w:r>
          </w:p>
        </w:tc>
        <w:tc>
          <w:tcPr>
            <w:tcW w:w="2880" w:type="dxa"/>
          </w:tcPr>
          <w:p w:rsidR="00D91C22" w:rsidRDefault="00D91C22" w:rsidP="0091168E">
            <w:pPr>
              <w:cnfStyle w:val="100000000000" w:firstRow="1" w:lastRow="0" w:firstColumn="0" w:lastColumn="0" w:oddVBand="0" w:evenVBand="0" w:oddHBand="0" w:evenHBand="0" w:firstRowFirstColumn="0" w:firstRowLastColumn="0" w:lastRowFirstColumn="0" w:lastRowLastColumn="0"/>
            </w:pPr>
            <w:r>
              <w:t>Example Features</w:t>
            </w:r>
          </w:p>
        </w:tc>
        <w:tc>
          <w:tcPr>
            <w:tcW w:w="2880" w:type="dxa"/>
          </w:tcPr>
          <w:p w:rsidR="00D91C22" w:rsidRDefault="00D91C22" w:rsidP="0091168E">
            <w:pPr>
              <w:cnfStyle w:val="100000000000" w:firstRow="1" w:lastRow="0" w:firstColumn="0" w:lastColumn="0" w:oddVBand="0" w:evenVBand="0" w:oddHBand="0" w:evenHBand="0" w:firstRowFirstColumn="0" w:firstRowLastColumn="0" w:lastRowFirstColumn="0" w:lastRowLastColumn="0"/>
            </w:pPr>
            <w:r>
              <w:t>Purpose</w:t>
            </w:r>
          </w:p>
        </w:tc>
      </w:tr>
      <w:tr w:rsidR="00D91C22" w:rsidTr="009116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D91C22" w:rsidRDefault="00D91C22" w:rsidP="0091168E">
            <w:r>
              <w:t>Lagged Prices</w:t>
            </w:r>
          </w:p>
        </w:tc>
        <w:tc>
          <w:tcPr>
            <w:tcW w:w="2880" w:type="dxa"/>
          </w:tcPr>
          <w:p w:rsidR="00D91C22" w:rsidRDefault="00D91C22" w:rsidP="0091168E">
            <w:pPr>
              <w:cnfStyle w:val="000000100000" w:firstRow="0" w:lastRow="0" w:firstColumn="0" w:lastColumn="0" w:oddVBand="0" w:evenVBand="0" w:oddHBand="1" w:evenHBand="0" w:firstRowFirstColumn="0" w:firstRowLastColumn="0" w:lastRowFirstColumn="0" w:lastRowLastColumn="0"/>
            </w:pPr>
            <w:r>
              <w:t>Log returns (t-1, t-5, t-20)</w:t>
            </w:r>
          </w:p>
        </w:tc>
        <w:tc>
          <w:tcPr>
            <w:tcW w:w="2880" w:type="dxa"/>
          </w:tcPr>
          <w:p w:rsidR="00D91C22" w:rsidRDefault="00D91C22" w:rsidP="0091168E">
            <w:pPr>
              <w:cnfStyle w:val="000000100000" w:firstRow="0" w:lastRow="0" w:firstColumn="0" w:lastColumn="0" w:oddVBand="0" w:evenVBand="0" w:oddHBand="1" w:evenHBand="0" w:firstRowFirstColumn="0" w:firstRowLastColumn="0" w:lastRowFirstColumn="0" w:lastRowLastColumn="0"/>
            </w:pPr>
            <w:r>
              <w:t>Momentum tracking</w:t>
            </w:r>
          </w:p>
        </w:tc>
      </w:tr>
      <w:tr w:rsidR="00D91C22" w:rsidTr="009116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D91C22" w:rsidRDefault="00D91C22" w:rsidP="0091168E">
            <w:r>
              <w:t>Trend/Momentum</w:t>
            </w:r>
          </w:p>
        </w:tc>
        <w:tc>
          <w:tcPr>
            <w:tcW w:w="2880" w:type="dxa"/>
          </w:tcPr>
          <w:p w:rsidR="00D91C22" w:rsidRDefault="00D91C22" w:rsidP="0091168E">
            <w:pPr>
              <w:cnfStyle w:val="000000010000" w:firstRow="0" w:lastRow="0" w:firstColumn="0" w:lastColumn="0" w:oddVBand="0" w:evenVBand="0" w:oddHBand="0" w:evenHBand="1" w:firstRowFirstColumn="0" w:firstRowLastColumn="0" w:lastRowFirstColumn="0" w:lastRowLastColumn="0"/>
            </w:pPr>
            <w:r>
              <w:t>SMA-5, EMA-10</w:t>
            </w:r>
          </w:p>
        </w:tc>
        <w:tc>
          <w:tcPr>
            <w:tcW w:w="2880" w:type="dxa"/>
          </w:tcPr>
          <w:p w:rsidR="00D91C22" w:rsidRDefault="00D91C22" w:rsidP="0091168E">
            <w:pPr>
              <w:cnfStyle w:val="000000010000" w:firstRow="0" w:lastRow="0" w:firstColumn="0" w:lastColumn="0" w:oddVBand="0" w:evenVBand="0" w:oddHBand="0" w:evenHBand="1" w:firstRowFirstColumn="0" w:firstRowLastColumn="0" w:lastRowFirstColumn="0" w:lastRowLastColumn="0"/>
            </w:pPr>
            <w:r>
              <w:t>Trend direction</w:t>
            </w:r>
          </w:p>
        </w:tc>
      </w:tr>
      <w:tr w:rsidR="00D91C22" w:rsidTr="009116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D91C22" w:rsidRDefault="00D91C22" w:rsidP="0091168E">
            <w:r>
              <w:t>Volatility</w:t>
            </w:r>
          </w:p>
        </w:tc>
        <w:tc>
          <w:tcPr>
            <w:tcW w:w="2880" w:type="dxa"/>
          </w:tcPr>
          <w:p w:rsidR="00D91C22" w:rsidRDefault="00D91C22" w:rsidP="0091168E">
            <w:pPr>
              <w:cnfStyle w:val="000000100000" w:firstRow="0" w:lastRow="0" w:firstColumn="0" w:lastColumn="0" w:oddVBand="0" w:evenVBand="0" w:oddHBand="1" w:evenHBand="0" w:firstRowFirstColumn="0" w:firstRowLastColumn="0" w:lastRowFirstColumn="0" w:lastRowLastColumn="0"/>
            </w:pPr>
            <w:r>
              <w:t>Rolling std dev, ATR</w:t>
            </w:r>
          </w:p>
        </w:tc>
        <w:tc>
          <w:tcPr>
            <w:tcW w:w="2880" w:type="dxa"/>
          </w:tcPr>
          <w:p w:rsidR="00D91C22" w:rsidRDefault="00D91C22" w:rsidP="0091168E">
            <w:pPr>
              <w:cnfStyle w:val="000000100000" w:firstRow="0" w:lastRow="0" w:firstColumn="0" w:lastColumn="0" w:oddVBand="0" w:evenVBand="0" w:oddHBand="1" w:evenHBand="0" w:firstRowFirstColumn="0" w:firstRowLastColumn="0" w:lastRowFirstColumn="0" w:lastRowLastColumn="0"/>
            </w:pPr>
            <w:r>
              <w:t>Market risk</w:t>
            </w:r>
          </w:p>
        </w:tc>
      </w:tr>
      <w:tr w:rsidR="00D91C22" w:rsidTr="009116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D91C22" w:rsidRDefault="00D91C22" w:rsidP="0091168E">
            <w:r>
              <w:t>Oscillators</w:t>
            </w:r>
          </w:p>
        </w:tc>
        <w:tc>
          <w:tcPr>
            <w:tcW w:w="2880" w:type="dxa"/>
          </w:tcPr>
          <w:p w:rsidR="00D91C22" w:rsidRDefault="00D91C22" w:rsidP="0091168E">
            <w:pPr>
              <w:cnfStyle w:val="000000010000" w:firstRow="0" w:lastRow="0" w:firstColumn="0" w:lastColumn="0" w:oddVBand="0" w:evenVBand="0" w:oddHBand="0" w:evenHBand="1" w:firstRowFirstColumn="0" w:firstRowLastColumn="0" w:lastRowFirstColumn="0" w:lastRowLastColumn="0"/>
            </w:pPr>
            <w:r>
              <w:t>RSI-14, MACD</w:t>
            </w:r>
          </w:p>
        </w:tc>
        <w:tc>
          <w:tcPr>
            <w:tcW w:w="2880" w:type="dxa"/>
          </w:tcPr>
          <w:p w:rsidR="00D91C22" w:rsidRDefault="00D91C22" w:rsidP="0091168E">
            <w:pPr>
              <w:cnfStyle w:val="000000010000" w:firstRow="0" w:lastRow="0" w:firstColumn="0" w:lastColumn="0" w:oddVBand="0" w:evenVBand="0" w:oddHBand="0" w:evenHBand="1" w:firstRowFirstColumn="0" w:firstRowLastColumn="0" w:lastRowFirstColumn="0" w:lastRowLastColumn="0"/>
            </w:pPr>
            <w:r>
              <w:t>Market condition signals</w:t>
            </w:r>
          </w:p>
        </w:tc>
      </w:tr>
      <w:tr w:rsidR="00D91C22" w:rsidTr="009116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D91C22" w:rsidRDefault="00D91C22" w:rsidP="0091168E">
            <w:r>
              <w:t>Bollinger Metrics</w:t>
            </w:r>
          </w:p>
        </w:tc>
        <w:tc>
          <w:tcPr>
            <w:tcW w:w="2880" w:type="dxa"/>
          </w:tcPr>
          <w:p w:rsidR="00D91C22" w:rsidRDefault="00D91C22" w:rsidP="0091168E">
            <w:pPr>
              <w:cnfStyle w:val="000000100000" w:firstRow="0" w:lastRow="0" w:firstColumn="0" w:lastColumn="0" w:oddVBand="0" w:evenVBand="0" w:oddHBand="1" w:evenHBand="0" w:firstRowFirstColumn="0" w:firstRowLastColumn="0" w:lastRowFirstColumn="0" w:lastRowLastColumn="0"/>
            </w:pPr>
            <w:r>
              <w:t>%B, Bandwidth</w:t>
            </w:r>
          </w:p>
        </w:tc>
        <w:tc>
          <w:tcPr>
            <w:tcW w:w="2880" w:type="dxa"/>
          </w:tcPr>
          <w:p w:rsidR="00D91C22" w:rsidRDefault="00D91C22" w:rsidP="0091168E">
            <w:pPr>
              <w:cnfStyle w:val="000000100000" w:firstRow="0" w:lastRow="0" w:firstColumn="0" w:lastColumn="0" w:oddVBand="0" w:evenVBand="0" w:oddHBand="1" w:evenHBand="0" w:firstRowFirstColumn="0" w:firstRowLastColumn="0" w:lastRowFirstColumn="0" w:lastRowLastColumn="0"/>
            </w:pPr>
            <w:r>
              <w:t>Price deviation context</w:t>
            </w:r>
          </w:p>
        </w:tc>
      </w:tr>
      <w:tr w:rsidR="00D91C22" w:rsidTr="009116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D91C22" w:rsidRDefault="00D91C22" w:rsidP="0091168E">
            <w:r>
              <w:t>Temporal/Calendar</w:t>
            </w:r>
          </w:p>
        </w:tc>
        <w:tc>
          <w:tcPr>
            <w:tcW w:w="2880" w:type="dxa"/>
          </w:tcPr>
          <w:p w:rsidR="00D91C22" w:rsidRDefault="00D91C22" w:rsidP="0091168E">
            <w:pPr>
              <w:cnfStyle w:val="000000010000" w:firstRow="0" w:lastRow="0" w:firstColumn="0" w:lastColumn="0" w:oddVBand="0" w:evenVBand="0" w:oddHBand="0" w:evenHBand="1" w:firstRowFirstColumn="0" w:firstRowLastColumn="0" w:lastRowFirstColumn="0" w:lastRowLastColumn="0"/>
            </w:pPr>
            <w:r>
              <w:t>Day of week, Month</w:t>
            </w:r>
          </w:p>
        </w:tc>
        <w:tc>
          <w:tcPr>
            <w:tcW w:w="2880" w:type="dxa"/>
          </w:tcPr>
          <w:p w:rsidR="00D91C22" w:rsidRDefault="00D91C22" w:rsidP="0091168E">
            <w:pPr>
              <w:cnfStyle w:val="000000010000" w:firstRow="0" w:lastRow="0" w:firstColumn="0" w:lastColumn="0" w:oddVBand="0" w:evenVBand="0" w:oddHBand="0" w:evenHBand="1" w:firstRowFirstColumn="0" w:firstRowLastColumn="0" w:lastRowFirstColumn="0" w:lastRowLastColumn="0"/>
            </w:pPr>
            <w:r>
              <w:t>Seasonal patterns</w:t>
            </w:r>
          </w:p>
        </w:tc>
      </w:tr>
    </w:tbl>
    <w:p w:rsidR="00DB71D7" w:rsidRDefault="00DB71D7" w:rsidP="00DB71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B71D7">
        <w:rPr>
          <w:rFonts w:ascii="Times New Roman" w:eastAsia="Times New Roman" w:hAnsi="Times New Roman" w:cs="Times New Roman"/>
          <w:b/>
          <w:bCs/>
          <w:kern w:val="0"/>
          <w:sz w:val="27"/>
          <w:szCs w:val="27"/>
          <w:lang w:eastAsia="en-GB"/>
          <w14:ligatures w14:val="none"/>
        </w:rPr>
        <w:t>3.4 Model Development</w:t>
      </w:r>
    </w:p>
    <w:p w:rsidR="00D91C22" w:rsidRPr="00DB71D7" w:rsidRDefault="00D91C22" w:rsidP="00D91C22">
      <w:r>
        <w:lastRenderedPageBreak/>
        <w:t>Two models will be implemented and compared: a stacked LSTM and a Temporal Fusion Transformer (TFT).</w:t>
      </w:r>
    </w:p>
    <w:p w:rsidR="00DB71D7" w:rsidRPr="00DB71D7" w:rsidRDefault="00DB71D7" w:rsidP="00DB71D7">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DB71D7">
        <w:rPr>
          <w:rFonts w:ascii="Times New Roman" w:eastAsia="Times New Roman" w:hAnsi="Times New Roman" w:cs="Times New Roman"/>
          <w:b/>
          <w:bCs/>
          <w:kern w:val="0"/>
          <w:lang w:eastAsia="en-GB"/>
          <w14:ligatures w14:val="none"/>
        </w:rPr>
        <w:t>3.4.1 LSTM Model</w:t>
      </w:r>
    </w:p>
    <w:p w:rsidR="007765E0" w:rsidRDefault="007765E0" w:rsidP="007765E0">
      <w:r>
        <w:t>LSTM architecture will include two LSTM layers (64 units each), dropout regularization (0.2), and a dense output layer. The model will use a 30-day rolling window with features scaled via Z-score normalization. The Adam optimizer with a learning rate of 0.001 and MSE loss function will be applied.</w:t>
      </w:r>
    </w:p>
    <w:p w:rsidR="00DB71D7" w:rsidRPr="00DB71D7" w:rsidRDefault="00DB71D7" w:rsidP="00DB71D7">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DB71D7">
        <w:rPr>
          <w:rFonts w:ascii="Times New Roman" w:eastAsia="Times New Roman" w:hAnsi="Times New Roman" w:cs="Times New Roman"/>
          <w:b/>
          <w:bCs/>
          <w:kern w:val="0"/>
          <w:lang w:eastAsia="en-GB"/>
          <w14:ligatures w14:val="none"/>
        </w:rPr>
        <w:t>3.4.2 Temporal Fusion Transformer (TFT)</w:t>
      </w:r>
    </w:p>
    <w:p w:rsidR="007765E0" w:rsidRDefault="007765E0" w:rsidP="007765E0">
      <w:r>
        <w:t>TFT will be implemented using PyTorch Forecasting, incorporating attention mechanisms and gating layers. Known inputs include calendar features, while observed inputs include technical indicators. The model will be trained using quantile loss and evaluated at multiple confidence levels (τ = 0.1, 0.5, 0.9).</w:t>
      </w:r>
    </w:p>
    <w:p w:rsidR="00DB71D7" w:rsidRPr="00DB71D7" w:rsidRDefault="00DB71D7" w:rsidP="00DB71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B71D7">
        <w:rPr>
          <w:rFonts w:ascii="Times New Roman" w:eastAsia="Times New Roman" w:hAnsi="Times New Roman" w:cs="Times New Roman"/>
          <w:b/>
          <w:bCs/>
          <w:kern w:val="0"/>
          <w:sz w:val="27"/>
          <w:szCs w:val="27"/>
          <w:lang w:eastAsia="en-GB"/>
          <w14:ligatures w14:val="none"/>
        </w:rPr>
        <w:t>3.5 Evaluation Metrics</w:t>
      </w:r>
    </w:p>
    <w:p w:rsidR="00DB71D7" w:rsidRPr="00DB71D7" w:rsidRDefault="00DB71D7" w:rsidP="00DB71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71D7">
        <w:rPr>
          <w:rFonts w:ascii="Times New Roman" w:eastAsia="Times New Roman" w:hAnsi="Times New Roman" w:cs="Times New Roman"/>
          <w:kern w:val="0"/>
          <w:lang w:eastAsia="en-GB"/>
          <w14:ligatures w14:val="none"/>
        </w:rPr>
        <w:t>To ensure rigorous comparison, models will be evaluated using:</w:t>
      </w:r>
    </w:p>
    <w:p w:rsidR="00DB71D7" w:rsidRPr="00DB71D7" w:rsidRDefault="00DB71D7" w:rsidP="00DB71D7">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71D7">
        <w:rPr>
          <w:rFonts w:ascii="Times New Roman" w:eastAsia="Times New Roman" w:hAnsi="Times New Roman" w:cs="Times New Roman"/>
          <w:kern w:val="0"/>
          <w:lang w:eastAsia="en-GB"/>
          <w14:ligatures w14:val="none"/>
        </w:rPr>
        <w:t>Root Mean Square Error (RMSE) and Mean Absolute Error (MAE) for assessing overall predictive accuracy.</w:t>
      </w:r>
    </w:p>
    <w:p w:rsidR="00DB71D7" w:rsidRPr="00DB71D7" w:rsidRDefault="00DB71D7" w:rsidP="00DB71D7">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71D7">
        <w:rPr>
          <w:rFonts w:ascii="Times New Roman" w:eastAsia="Times New Roman" w:hAnsi="Times New Roman" w:cs="Times New Roman"/>
          <w:kern w:val="0"/>
          <w:lang w:eastAsia="en-GB"/>
          <w14:ligatures w14:val="none"/>
        </w:rPr>
        <w:t>Mean Absolute Percentage Error (MAPE) for relative performance.</w:t>
      </w:r>
    </w:p>
    <w:p w:rsidR="00DB71D7" w:rsidRDefault="00DB71D7" w:rsidP="00DB71D7">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71D7">
        <w:rPr>
          <w:rFonts w:ascii="Times New Roman" w:eastAsia="Times New Roman" w:hAnsi="Times New Roman" w:cs="Times New Roman"/>
          <w:kern w:val="0"/>
          <w:lang w:eastAsia="en-GB"/>
          <w14:ligatures w14:val="none"/>
        </w:rPr>
        <w:t>Directional Accuracy: The percentage of correct predictions in terms of the next-day price movement direction (up or down).</w:t>
      </w:r>
    </w:p>
    <w:tbl>
      <w:tblPr>
        <w:tblStyle w:val="LightGrid-Accent1"/>
        <w:tblW w:w="0" w:type="auto"/>
        <w:tblLook w:val="04A0" w:firstRow="1" w:lastRow="0" w:firstColumn="1" w:lastColumn="0" w:noHBand="0" w:noVBand="1"/>
      </w:tblPr>
      <w:tblGrid>
        <w:gridCol w:w="2880"/>
        <w:gridCol w:w="2880"/>
        <w:gridCol w:w="2880"/>
      </w:tblGrid>
      <w:tr w:rsidR="007765E0" w:rsidTr="009116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7765E0" w:rsidRDefault="007765E0" w:rsidP="0091168E">
            <w:r>
              <w:t>Metric</w:t>
            </w:r>
          </w:p>
        </w:tc>
        <w:tc>
          <w:tcPr>
            <w:tcW w:w="2880" w:type="dxa"/>
          </w:tcPr>
          <w:p w:rsidR="007765E0" w:rsidRDefault="007765E0" w:rsidP="0091168E">
            <w:pPr>
              <w:cnfStyle w:val="100000000000" w:firstRow="1" w:lastRow="0" w:firstColumn="0" w:lastColumn="0" w:oddVBand="0" w:evenVBand="0" w:oddHBand="0" w:evenHBand="0" w:firstRowFirstColumn="0" w:firstRowLastColumn="0" w:lastRowFirstColumn="0" w:lastRowLastColumn="0"/>
            </w:pPr>
            <w:r>
              <w:t>Category</w:t>
            </w:r>
          </w:p>
        </w:tc>
        <w:tc>
          <w:tcPr>
            <w:tcW w:w="2880" w:type="dxa"/>
          </w:tcPr>
          <w:p w:rsidR="007765E0" w:rsidRDefault="007765E0" w:rsidP="0091168E">
            <w:pPr>
              <w:cnfStyle w:val="100000000000" w:firstRow="1" w:lastRow="0" w:firstColumn="0" w:lastColumn="0" w:oddVBand="0" w:evenVBand="0" w:oddHBand="0" w:evenHBand="0" w:firstRowFirstColumn="0" w:firstRowLastColumn="0" w:lastRowFirstColumn="0" w:lastRowLastColumn="0"/>
            </w:pPr>
            <w:r>
              <w:t>Use Case</w:t>
            </w:r>
          </w:p>
        </w:tc>
      </w:tr>
      <w:tr w:rsidR="007765E0" w:rsidTr="009116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7765E0" w:rsidRDefault="007765E0" w:rsidP="0091168E">
            <w:r>
              <w:t>RMSE</w:t>
            </w:r>
          </w:p>
        </w:tc>
        <w:tc>
          <w:tcPr>
            <w:tcW w:w="2880" w:type="dxa"/>
          </w:tcPr>
          <w:p w:rsidR="007765E0" w:rsidRDefault="007765E0" w:rsidP="0091168E">
            <w:pPr>
              <w:cnfStyle w:val="000000100000" w:firstRow="0" w:lastRow="0" w:firstColumn="0" w:lastColumn="0" w:oddVBand="0" w:evenVBand="0" w:oddHBand="1" w:evenHBand="0" w:firstRowFirstColumn="0" w:firstRowLastColumn="0" w:lastRowFirstColumn="0" w:lastRowLastColumn="0"/>
            </w:pPr>
            <w:r>
              <w:t>Point Accuracy</w:t>
            </w:r>
          </w:p>
        </w:tc>
        <w:tc>
          <w:tcPr>
            <w:tcW w:w="2880" w:type="dxa"/>
          </w:tcPr>
          <w:p w:rsidR="007765E0" w:rsidRDefault="007765E0" w:rsidP="0091168E">
            <w:pPr>
              <w:cnfStyle w:val="000000100000" w:firstRow="0" w:lastRow="0" w:firstColumn="0" w:lastColumn="0" w:oddVBand="0" w:evenVBand="0" w:oddHBand="1" w:evenHBand="0" w:firstRowFirstColumn="0" w:firstRowLastColumn="0" w:lastRowFirstColumn="0" w:lastRowLastColumn="0"/>
            </w:pPr>
            <w:r>
              <w:t>Overall prediction error</w:t>
            </w:r>
          </w:p>
        </w:tc>
      </w:tr>
      <w:tr w:rsidR="007765E0" w:rsidTr="009116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7765E0" w:rsidRDefault="007765E0" w:rsidP="0091168E">
            <w:r>
              <w:t>MAE</w:t>
            </w:r>
          </w:p>
        </w:tc>
        <w:tc>
          <w:tcPr>
            <w:tcW w:w="2880" w:type="dxa"/>
          </w:tcPr>
          <w:p w:rsidR="007765E0" w:rsidRDefault="007765E0" w:rsidP="0091168E">
            <w:pPr>
              <w:cnfStyle w:val="000000010000" w:firstRow="0" w:lastRow="0" w:firstColumn="0" w:lastColumn="0" w:oddVBand="0" w:evenVBand="0" w:oddHBand="0" w:evenHBand="1" w:firstRowFirstColumn="0" w:firstRowLastColumn="0" w:lastRowFirstColumn="0" w:lastRowLastColumn="0"/>
            </w:pPr>
            <w:r>
              <w:t>Point Accuracy</w:t>
            </w:r>
          </w:p>
        </w:tc>
        <w:tc>
          <w:tcPr>
            <w:tcW w:w="2880" w:type="dxa"/>
          </w:tcPr>
          <w:p w:rsidR="007765E0" w:rsidRDefault="007765E0" w:rsidP="0091168E">
            <w:pPr>
              <w:cnfStyle w:val="000000010000" w:firstRow="0" w:lastRow="0" w:firstColumn="0" w:lastColumn="0" w:oddVBand="0" w:evenVBand="0" w:oddHBand="0" w:evenHBand="1" w:firstRowFirstColumn="0" w:firstRowLastColumn="0" w:lastRowFirstColumn="0" w:lastRowLastColumn="0"/>
            </w:pPr>
            <w:r>
              <w:t>Robust error measure</w:t>
            </w:r>
          </w:p>
        </w:tc>
      </w:tr>
      <w:tr w:rsidR="007765E0" w:rsidTr="009116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7765E0" w:rsidRDefault="007765E0" w:rsidP="0091168E">
            <w:r>
              <w:t>MAPE</w:t>
            </w:r>
          </w:p>
        </w:tc>
        <w:tc>
          <w:tcPr>
            <w:tcW w:w="2880" w:type="dxa"/>
          </w:tcPr>
          <w:p w:rsidR="007765E0" w:rsidRDefault="007765E0" w:rsidP="0091168E">
            <w:pPr>
              <w:cnfStyle w:val="000000100000" w:firstRow="0" w:lastRow="0" w:firstColumn="0" w:lastColumn="0" w:oddVBand="0" w:evenVBand="0" w:oddHBand="1" w:evenHBand="0" w:firstRowFirstColumn="0" w:firstRowLastColumn="0" w:lastRowFirstColumn="0" w:lastRowLastColumn="0"/>
            </w:pPr>
            <w:r>
              <w:t>Relative Accuracy</w:t>
            </w:r>
          </w:p>
        </w:tc>
        <w:tc>
          <w:tcPr>
            <w:tcW w:w="2880" w:type="dxa"/>
          </w:tcPr>
          <w:p w:rsidR="007765E0" w:rsidRDefault="007765E0" w:rsidP="0091168E">
            <w:pPr>
              <w:cnfStyle w:val="000000100000" w:firstRow="0" w:lastRow="0" w:firstColumn="0" w:lastColumn="0" w:oddVBand="0" w:evenVBand="0" w:oddHBand="1" w:evenHBand="0" w:firstRowFirstColumn="0" w:firstRowLastColumn="0" w:lastRowFirstColumn="0" w:lastRowLastColumn="0"/>
            </w:pPr>
            <w:r>
              <w:t>Error relative to price</w:t>
            </w:r>
          </w:p>
        </w:tc>
      </w:tr>
      <w:tr w:rsidR="007765E0" w:rsidTr="009116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7765E0" w:rsidRDefault="007765E0" w:rsidP="0091168E">
            <w:r>
              <w:t>Directional Accuracy</w:t>
            </w:r>
          </w:p>
        </w:tc>
        <w:tc>
          <w:tcPr>
            <w:tcW w:w="2880" w:type="dxa"/>
          </w:tcPr>
          <w:p w:rsidR="007765E0" w:rsidRDefault="007765E0" w:rsidP="0091168E">
            <w:pPr>
              <w:cnfStyle w:val="000000010000" w:firstRow="0" w:lastRow="0" w:firstColumn="0" w:lastColumn="0" w:oddVBand="0" w:evenVBand="0" w:oddHBand="0" w:evenHBand="1" w:firstRowFirstColumn="0" w:firstRowLastColumn="0" w:lastRowFirstColumn="0" w:lastRowLastColumn="0"/>
            </w:pPr>
            <w:r>
              <w:t>Classification</w:t>
            </w:r>
          </w:p>
        </w:tc>
        <w:tc>
          <w:tcPr>
            <w:tcW w:w="2880" w:type="dxa"/>
          </w:tcPr>
          <w:p w:rsidR="007765E0" w:rsidRDefault="007765E0" w:rsidP="0091168E">
            <w:pPr>
              <w:cnfStyle w:val="000000010000" w:firstRow="0" w:lastRow="0" w:firstColumn="0" w:lastColumn="0" w:oddVBand="0" w:evenVBand="0" w:oddHBand="0" w:evenHBand="1" w:firstRowFirstColumn="0" w:firstRowLastColumn="0" w:lastRowFirstColumn="0" w:lastRowLastColumn="0"/>
            </w:pPr>
            <w:r>
              <w:t>Predicting up/down</w:t>
            </w:r>
          </w:p>
        </w:tc>
      </w:tr>
      <w:tr w:rsidR="007765E0" w:rsidTr="009116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7765E0" w:rsidRDefault="007765E0" w:rsidP="0091168E">
            <w:r>
              <w:t>Sharpe Ratio</w:t>
            </w:r>
          </w:p>
        </w:tc>
        <w:tc>
          <w:tcPr>
            <w:tcW w:w="2880" w:type="dxa"/>
          </w:tcPr>
          <w:p w:rsidR="007765E0" w:rsidRDefault="007765E0" w:rsidP="0091168E">
            <w:pPr>
              <w:cnfStyle w:val="000000100000" w:firstRow="0" w:lastRow="0" w:firstColumn="0" w:lastColumn="0" w:oddVBand="0" w:evenVBand="0" w:oddHBand="1" w:evenHBand="0" w:firstRowFirstColumn="0" w:firstRowLastColumn="0" w:lastRowFirstColumn="0" w:lastRowLastColumn="0"/>
            </w:pPr>
            <w:r>
              <w:t>Economic Relevance</w:t>
            </w:r>
          </w:p>
        </w:tc>
        <w:tc>
          <w:tcPr>
            <w:tcW w:w="2880" w:type="dxa"/>
          </w:tcPr>
          <w:p w:rsidR="007765E0" w:rsidRDefault="007765E0" w:rsidP="0091168E">
            <w:pPr>
              <w:cnfStyle w:val="000000100000" w:firstRow="0" w:lastRow="0" w:firstColumn="0" w:lastColumn="0" w:oddVBand="0" w:evenVBand="0" w:oddHBand="1" w:evenHBand="0" w:firstRowFirstColumn="0" w:firstRowLastColumn="0" w:lastRowFirstColumn="0" w:lastRowLastColumn="0"/>
            </w:pPr>
            <w:r>
              <w:t>Risk-adjusted returns</w:t>
            </w:r>
          </w:p>
        </w:tc>
      </w:tr>
    </w:tbl>
    <w:p w:rsidR="00DB71D7" w:rsidRPr="00DB71D7" w:rsidRDefault="00DB71D7" w:rsidP="00DB71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71D7">
        <w:rPr>
          <w:rFonts w:ascii="Times New Roman" w:eastAsia="Times New Roman" w:hAnsi="Times New Roman" w:cs="Times New Roman"/>
          <w:b/>
          <w:bCs/>
          <w:kern w:val="0"/>
          <w:sz w:val="27"/>
          <w:szCs w:val="27"/>
          <w:lang w:eastAsia="en-GB"/>
          <w14:ligatures w14:val="none"/>
        </w:rPr>
        <w:t>3.6 Model Interpretability</w:t>
      </w:r>
    </w:p>
    <w:p w:rsidR="007765E0" w:rsidRDefault="007765E0" w:rsidP="007765E0">
      <w:r>
        <w:t>SHAP will be used with the LSTM model to evaluate feature importance, while TFT’s internal attention mechanisms will highlight both temporal and variable contributions. Visual diagnostics will include SHAP summary plots and attention heatmaps.</w:t>
      </w:r>
    </w:p>
    <w:p w:rsidR="00DB71D7" w:rsidRDefault="00DB71D7" w:rsidP="00DB71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B71D7">
        <w:rPr>
          <w:rFonts w:ascii="Times New Roman" w:eastAsia="Times New Roman" w:hAnsi="Times New Roman" w:cs="Times New Roman"/>
          <w:b/>
          <w:bCs/>
          <w:kern w:val="0"/>
          <w:sz w:val="27"/>
          <w:szCs w:val="27"/>
          <w:lang w:eastAsia="en-GB"/>
          <w14:ligatures w14:val="none"/>
        </w:rPr>
        <w:t>3.7 Potential Technical Challenges and Limitations</w:t>
      </w:r>
    </w:p>
    <w:p w:rsidR="007765E0" w:rsidRDefault="007765E0" w:rsidP="007765E0">
      <w:r>
        <w:t xml:space="preserve">Possible challenges include class imbalance, overfitting, and non-stationarity. Class imbalance will be monitored using distribution plots. Overfitting will be mitigated using </w:t>
      </w:r>
      <w:r>
        <w:lastRenderedPageBreak/>
        <w:t>dropout and early stopping. Non-stationary effects will be addressed via periodic retraining and windowing.</w:t>
      </w:r>
    </w:p>
    <w:p w:rsidR="00DB71D7" w:rsidRPr="00DB71D7" w:rsidRDefault="00DB71D7" w:rsidP="00DB71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B71D7">
        <w:rPr>
          <w:rFonts w:ascii="Times New Roman" w:eastAsia="Times New Roman" w:hAnsi="Times New Roman" w:cs="Times New Roman"/>
          <w:b/>
          <w:bCs/>
          <w:kern w:val="0"/>
          <w:sz w:val="27"/>
          <w:szCs w:val="27"/>
          <w:lang w:eastAsia="en-GB"/>
          <w14:ligatures w14:val="none"/>
        </w:rPr>
        <w:t>3.8 Alternative Approaches</w:t>
      </w:r>
    </w:p>
    <w:p w:rsidR="00DB71D7" w:rsidRPr="00DB71D7" w:rsidRDefault="00DB71D7" w:rsidP="00DB71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71D7">
        <w:rPr>
          <w:rFonts w:ascii="Times New Roman" w:eastAsia="Times New Roman" w:hAnsi="Times New Roman" w:cs="Times New Roman"/>
          <w:kern w:val="0"/>
          <w:lang w:eastAsia="en-GB"/>
          <w14:ligatures w14:val="none"/>
        </w:rPr>
        <w:t>In the event of insufficient performance or interpretability challenges, alternative approaches include:</w:t>
      </w:r>
    </w:p>
    <w:p w:rsidR="00DB71D7" w:rsidRPr="00DB71D7" w:rsidRDefault="00DB71D7" w:rsidP="00DB71D7">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71D7">
        <w:rPr>
          <w:rFonts w:ascii="Times New Roman" w:eastAsia="Times New Roman" w:hAnsi="Times New Roman" w:cs="Times New Roman"/>
          <w:kern w:val="0"/>
          <w:lang w:eastAsia="en-GB"/>
          <w14:ligatures w14:val="none"/>
        </w:rPr>
        <w:t>Expanding model ensembles (combining LSTM and TFT outputs).</w:t>
      </w:r>
    </w:p>
    <w:p w:rsidR="00DB71D7" w:rsidRPr="00DB71D7" w:rsidRDefault="00DB71D7" w:rsidP="00DB71D7">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71D7">
        <w:rPr>
          <w:rFonts w:ascii="Times New Roman" w:eastAsia="Times New Roman" w:hAnsi="Times New Roman" w:cs="Times New Roman"/>
          <w:kern w:val="0"/>
          <w:lang w:eastAsia="en-GB"/>
          <w14:ligatures w14:val="none"/>
        </w:rPr>
        <w:t>Incorporating additional macroeconomic indicators or news sentiment analysis.</w:t>
      </w:r>
    </w:p>
    <w:p w:rsidR="00DB71D7" w:rsidRPr="00DB71D7" w:rsidRDefault="00DB71D7" w:rsidP="00DB71D7">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71D7">
        <w:rPr>
          <w:rFonts w:ascii="Times New Roman" w:eastAsia="Times New Roman" w:hAnsi="Times New Roman" w:cs="Times New Roman"/>
          <w:kern w:val="0"/>
          <w:lang w:eastAsia="en-GB"/>
          <w14:ligatures w14:val="none"/>
        </w:rPr>
        <w:t>Employing hybrid models (ARIMA-LSTM or GARCH-TFT) to leverage strengths from traditional econometric approaches and deep learning.</w:t>
      </w:r>
    </w:p>
    <w:p w:rsidR="00DB71D7" w:rsidRPr="00DB71D7" w:rsidRDefault="00DB71D7" w:rsidP="00DB71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B71D7">
        <w:rPr>
          <w:rFonts w:ascii="Times New Roman" w:eastAsia="Times New Roman" w:hAnsi="Times New Roman" w:cs="Times New Roman"/>
          <w:b/>
          <w:bCs/>
          <w:kern w:val="0"/>
          <w:sz w:val="27"/>
          <w:szCs w:val="27"/>
          <w:lang w:eastAsia="en-GB"/>
          <w14:ligatures w14:val="none"/>
        </w:rPr>
        <w:t>3.9 Software and Tools</w:t>
      </w:r>
    </w:p>
    <w:p w:rsidR="00DB71D7" w:rsidRPr="00DB71D7" w:rsidRDefault="00DB71D7" w:rsidP="00DB71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71D7">
        <w:rPr>
          <w:rFonts w:ascii="Times New Roman" w:eastAsia="Times New Roman" w:hAnsi="Times New Roman" w:cs="Times New Roman"/>
          <w:kern w:val="0"/>
          <w:lang w:eastAsia="en-GB"/>
          <w14:ligatures w14:val="none"/>
        </w:rPr>
        <w:t>The primary tools include:</w:t>
      </w:r>
    </w:p>
    <w:p w:rsidR="00DB71D7" w:rsidRPr="00DB71D7" w:rsidRDefault="00DB71D7" w:rsidP="00DB71D7">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71D7">
        <w:rPr>
          <w:rFonts w:ascii="Times New Roman" w:eastAsia="Times New Roman" w:hAnsi="Times New Roman" w:cs="Times New Roman"/>
          <w:kern w:val="0"/>
          <w:lang w:eastAsia="en-GB"/>
          <w14:ligatures w14:val="none"/>
        </w:rPr>
        <w:t>Python (with TensorFlow/Keras, PyTorch, pytorch-forecasting, pandas, NumPy, scikit-learn, SHAP, matplotlib, seaborn)</w:t>
      </w:r>
    </w:p>
    <w:p w:rsidR="00DB71D7" w:rsidRPr="00DB71D7" w:rsidRDefault="00DB71D7" w:rsidP="00DB71D7">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71D7">
        <w:rPr>
          <w:rFonts w:ascii="Times New Roman" w:eastAsia="Times New Roman" w:hAnsi="Times New Roman" w:cs="Times New Roman"/>
          <w:kern w:val="0"/>
          <w:lang w:eastAsia="en-GB"/>
          <w14:ligatures w14:val="none"/>
        </w:rPr>
        <w:t>Jupyter Notebook for code documentation and iterative experimentation.</w:t>
      </w:r>
    </w:p>
    <w:p w:rsidR="00DB71D7" w:rsidRPr="00DB71D7" w:rsidRDefault="00DB71D7" w:rsidP="00DB71D7">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71D7">
        <w:rPr>
          <w:rFonts w:ascii="Times New Roman" w:eastAsia="Times New Roman" w:hAnsi="Times New Roman" w:cs="Times New Roman"/>
          <w:kern w:val="0"/>
          <w:lang w:eastAsia="en-GB"/>
          <w14:ligatures w14:val="none"/>
        </w:rPr>
        <w:t>Google Colab or AWS SageMaker for computational resources.</w:t>
      </w:r>
    </w:p>
    <w:p w:rsidR="00DB71D7" w:rsidRPr="00DB71D7" w:rsidRDefault="00DB71D7" w:rsidP="00DB71D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DB71D7">
        <w:rPr>
          <w:rFonts w:ascii="Times New Roman" w:eastAsia="Times New Roman" w:hAnsi="Times New Roman" w:cs="Times New Roman"/>
          <w:b/>
          <w:bCs/>
          <w:kern w:val="0"/>
          <w:sz w:val="27"/>
          <w:szCs w:val="27"/>
          <w:lang w:eastAsia="en-GB"/>
          <w14:ligatures w14:val="none"/>
        </w:rPr>
        <w:t>3.10 Ethical Considerations</w:t>
      </w:r>
    </w:p>
    <w:p w:rsidR="00DB71D7" w:rsidRPr="00DB71D7" w:rsidRDefault="00DB71D7" w:rsidP="00DB71D7">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71D7">
        <w:rPr>
          <w:rFonts w:ascii="Times New Roman" w:eastAsia="Times New Roman" w:hAnsi="Times New Roman" w:cs="Times New Roman"/>
          <w:kern w:val="0"/>
          <w:lang w:eastAsia="en-GB"/>
          <w14:ligatures w14:val="none"/>
        </w:rPr>
        <w:t>The study adheres to ethical standards in data handling, ensuring transparency, reproducibility, and avoiding model misuse, specifically highlighting limitations to prevent misrepresentation of forecasting capabilities.</w:t>
      </w:r>
    </w:p>
    <w:p w:rsidR="00DB71D7" w:rsidRDefault="00DB71D7">
      <w:pPr>
        <w:rPr>
          <w:rFonts w:ascii="Times New Roman" w:eastAsia="Times New Roman" w:hAnsi="Times New Roman" w:cs="Times New Roman"/>
          <w:kern w:val="0"/>
          <w:lang w:eastAsia="en-GB"/>
          <w14:ligatures w14:val="none"/>
        </w:rPr>
      </w:pPr>
    </w:p>
    <w:p w:rsidR="00E12CB6" w:rsidRDefault="00E12CB6">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br w:type="page"/>
      </w:r>
    </w:p>
    <w:p w:rsidR="00E12CB6" w:rsidRPr="00E12CB6" w:rsidRDefault="00E12CB6" w:rsidP="00E12CB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12CB6">
        <w:rPr>
          <w:rFonts w:ascii="Times New Roman" w:eastAsia="Times New Roman" w:hAnsi="Times New Roman" w:cs="Times New Roman"/>
          <w:b/>
          <w:bCs/>
          <w:kern w:val="0"/>
          <w:sz w:val="36"/>
          <w:szCs w:val="36"/>
          <w:lang w:eastAsia="en-GB"/>
          <w14:ligatures w14:val="none"/>
        </w:rPr>
        <w:lastRenderedPageBreak/>
        <w:t>4. Proposed Timetable</w:t>
      </w:r>
    </w:p>
    <w:p w:rsidR="00E12CB6" w:rsidRPr="00E12CB6" w:rsidRDefault="00E12CB6" w:rsidP="00E12CB6">
      <w:pPr>
        <w:spacing w:before="100" w:beforeAutospacing="1" w:after="100" w:afterAutospacing="1" w:line="240" w:lineRule="auto"/>
        <w:rPr>
          <w:rFonts w:ascii="Times New Roman" w:eastAsia="Times New Roman" w:hAnsi="Times New Roman" w:cs="Times New Roman"/>
          <w:kern w:val="0"/>
          <w:lang w:eastAsia="en-GB"/>
          <w14:ligatures w14:val="none"/>
        </w:rPr>
      </w:pPr>
      <w:r w:rsidRPr="00E12CB6">
        <w:rPr>
          <w:rFonts w:ascii="Times New Roman" w:eastAsia="Times New Roman" w:hAnsi="Times New Roman" w:cs="Times New Roman"/>
          <w:kern w:val="0"/>
          <w:lang w:eastAsia="en-GB"/>
          <w14:ligatures w14:val="none"/>
        </w:rPr>
        <w:t>The table below outlines the estimated schedule for conducting the research project, including data collection, model development, evaluation, and report writing. This plan assumes a 12-week research period and balances technical implementation with documentation and revision 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2224"/>
        <w:gridCol w:w="6140"/>
      </w:tblGrid>
      <w:tr w:rsidR="00E12CB6" w:rsidRPr="00E12CB6" w:rsidTr="00E12CB6">
        <w:trPr>
          <w:tblHeader/>
          <w:tblCellSpacing w:w="15" w:type="dxa"/>
        </w:trPr>
        <w:tc>
          <w:tcPr>
            <w:tcW w:w="0" w:type="auto"/>
            <w:vAlign w:val="center"/>
            <w:hideMark/>
          </w:tcPr>
          <w:p w:rsidR="00E12CB6" w:rsidRPr="00E12CB6" w:rsidRDefault="00E12CB6" w:rsidP="00E12CB6">
            <w:pPr>
              <w:spacing w:after="0" w:line="240" w:lineRule="auto"/>
              <w:jc w:val="center"/>
              <w:rPr>
                <w:rFonts w:ascii="Times New Roman" w:eastAsia="Times New Roman" w:hAnsi="Times New Roman" w:cs="Times New Roman"/>
                <w:b/>
                <w:bCs/>
                <w:kern w:val="0"/>
                <w:lang w:eastAsia="en-GB"/>
                <w14:ligatures w14:val="none"/>
              </w:rPr>
            </w:pPr>
            <w:r w:rsidRPr="00E12CB6">
              <w:rPr>
                <w:rFonts w:ascii="Times New Roman" w:eastAsia="Times New Roman" w:hAnsi="Times New Roman" w:cs="Times New Roman"/>
                <w:b/>
                <w:bCs/>
                <w:kern w:val="0"/>
                <w:lang w:eastAsia="en-GB"/>
                <w14:ligatures w14:val="none"/>
              </w:rPr>
              <w:t>Week</w:t>
            </w:r>
          </w:p>
        </w:tc>
        <w:tc>
          <w:tcPr>
            <w:tcW w:w="0" w:type="auto"/>
            <w:vAlign w:val="center"/>
            <w:hideMark/>
          </w:tcPr>
          <w:p w:rsidR="00E12CB6" w:rsidRPr="00E12CB6" w:rsidRDefault="00E12CB6" w:rsidP="00E12CB6">
            <w:pPr>
              <w:spacing w:after="0" w:line="240" w:lineRule="auto"/>
              <w:jc w:val="center"/>
              <w:rPr>
                <w:rFonts w:ascii="Times New Roman" w:eastAsia="Times New Roman" w:hAnsi="Times New Roman" w:cs="Times New Roman"/>
                <w:b/>
                <w:bCs/>
                <w:kern w:val="0"/>
                <w:lang w:eastAsia="en-GB"/>
                <w14:ligatures w14:val="none"/>
              </w:rPr>
            </w:pPr>
            <w:r w:rsidRPr="00E12CB6">
              <w:rPr>
                <w:rFonts w:ascii="Times New Roman" w:eastAsia="Times New Roman" w:hAnsi="Times New Roman" w:cs="Times New Roman"/>
                <w:b/>
                <w:bCs/>
                <w:kern w:val="0"/>
                <w:lang w:eastAsia="en-GB"/>
                <w14:ligatures w14:val="none"/>
              </w:rPr>
              <w:t>Activity</w:t>
            </w:r>
          </w:p>
        </w:tc>
        <w:tc>
          <w:tcPr>
            <w:tcW w:w="0" w:type="auto"/>
            <w:vAlign w:val="center"/>
            <w:hideMark/>
          </w:tcPr>
          <w:p w:rsidR="00E12CB6" w:rsidRPr="00E12CB6" w:rsidRDefault="00E12CB6" w:rsidP="00E12CB6">
            <w:pPr>
              <w:spacing w:after="0" w:line="240" w:lineRule="auto"/>
              <w:jc w:val="center"/>
              <w:rPr>
                <w:rFonts w:ascii="Times New Roman" w:eastAsia="Times New Roman" w:hAnsi="Times New Roman" w:cs="Times New Roman"/>
                <w:b/>
                <w:bCs/>
                <w:kern w:val="0"/>
                <w:lang w:eastAsia="en-GB"/>
                <w14:ligatures w14:val="none"/>
              </w:rPr>
            </w:pPr>
            <w:r w:rsidRPr="00E12CB6">
              <w:rPr>
                <w:rFonts w:ascii="Times New Roman" w:eastAsia="Times New Roman" w:hAnsi="Times New Roman" w:cs="Times New Roman"/>
                <w:b/>
                <w:bCs/>
                <w:kern w:val="0"/>
                <w:lang w:eastAsia="en-GB"/>
                <w14:ligatures w14:val="none"/>
              </w:rPr>
              <w:t>Description</w:t>
            </w:r>
          </w:p>
        </w:tc>
      </w:tr>
      <w:tr w:rsidR="00E12CB6" w:rsidRPr="00E12CB6" w:rsidTr="00E12CB6">
        <w:trPr>
          <w:tblCellSpacing w:w="15" w:type="dxa"/>
        </w:trPr>
        <w:tc>
          <w:tcPr>
            <w:tcW w:w="0" w:type="auto"/>
            <w:vAlign w:val="center"/>
            <w:hideMark/>
          </w:tcPr>
          <w:p w:rsidR="00E12CB6" w:rsidRPr="00E12CB6" w:rsidRDefault="00E12CB6" w:rsidP="00E12CB6">
            <w:pPr>
              <w:spacing w:after="0" w:line="240" w:lineRule="auto"/>
              <w:rPr>
                <w:rFonts w:ascii="Times New Roman" w:eastAsia="Times New Roman" w:hAnsi="Times New Roman" w:cs="Times New Roman"/>
                <w:kern w:val="0"/>
                <w:lang w:eastAsia="en-GB"/>
                <w14:ligatures w14:val="none"/>
              </w:rPr>
            </w:pPr>
            <w:r w:rsidRPr="00E12CB6">
              <w:rPr>
                <w:rFonts w:ascii="Times New Roman" w:eastAsia="Times New Roman" w:hAnsi="Times New Roman" w:cs="Times New Roman"/>
                <w:b/>
                <w:bCs/>
                <w:kern w:val="0"/>
                <w:lang w:eastAsia="en-GB"/>
                <w14:ligatures w14:val="none"/>
              </w:rPr>
              <w:t>1</w:t>
            </w:r>
          </w:p>
        </w:tc>
        <w:tc>
          <w:tcPr>
            <w:tcW w:w="0" w:type="auto"/>
            <w:vAlign w:val="center"/>
            <w:hideMark/>
          </w:tcPr>
          <w:p w:rsidR="00E12CB6" w:rsidRPr="00E12CB6" w:rsidRDefault="00E12CB6" w:rsidP="00E12CB6">
            <w:pPr>
              <w:spacing w:after="0" w:line="240" w:lineRule="auto"/>
              <w:rPr>
                <w:rFonts w:ascii="Times New Roman" w:eastAsia="Times New Roman" w:hAnsi="Times New Roman" w:cs="Times New Roman"/>
                <w:kern w:val="0"/>
                <w:lang w:eastAsia="en-GB"/>
                <w14:ligatures w14:val="none"/>
              </w:rPr>
            </w:pPr>
            <w:r w:rsidRPr="00E12CB6">
              <w:rPr>
                <w:rFonts w:ascii="Times New Roman" w:eastAsia="Times New Roman" w:hAnsi="Times New Roman" w:cs="Times New Roman"/>
                <w:kern w:val="0"/>
                <w:lang w:eastAsia="en-GB"/>
                <w14:ligatures w14:val="none"/>
              </w:rPr>
              <w:t>Literature Review</w:t>
            </w:r>
          </w:p>
        </w:tc>
        <w:tc>
          <w:tcPr>
            <w:tcW w:w="0" w:type="auto"/>
            <w:vAlign w:val="center"/>
            <w:hideMark/>
          </w:tcPr>
          <w:p w:rsidR="00E12CB6" w:rsidRPr="00E12CB6" w:rsidRDefault="00E12CB6" w:rsidP="00E12CB6">
            <w:pPr>
              <w:spacing w:after="0" w:line="240" w:lineRule="auto"/>
              <w:rPr>
                <w:rFonts w:ascii="Times New Roman" w:eastAsia="Times New Roman" w:hAnsi="Times New Roman" w:cs="Times New Roman"/>
                <w:kern w:val="0"/>
                <w:lang w:eastAsia="en-GB"/>
                <w14:ligatures w14:val="none"/>
              </w:rPr>
            </w:pPr>
            <w:r w:rsidRPr="00E12CB6">
              <w:rPr>
                <w:rFonts w:ascii="Times New Roman" w:eastAsia="Times New Roman" w:hAnsi="Times New Roman" w:cs="Times New Roman"/>
                <w:kern w:val="0"/>
                <w:lang w:eastAsia="en-GB"/>
                <w14:ligatures w14:val="none"/>
              </w:rPr>
              <w:t>Conduct a thorough review of academic and industry sources on forex forecasting, LSTM, and TFT. Finalize research objectives.</w:t>
            </w:r>
          </w:p>
        </w:tc>
      </w:tr>
      <w:tr w:rsidR="00E12CB6" w:rsidRPr="00E12CB6" w:rsidTr="00E12CB6">
        <w:trPr>
          <w:tblCellSpacing w:w="15" w:type="dxa"/>
        </w:trPr>
        <w:tc>
          <w:tcPr>
            <w:tcW w:w="0" w:type="auto"/>
            <w:vAlign w:val="center"/>
            <w:hideMark/>
          </w:tcPr>
          <w:p w:rsidR="00E12CB6" w:rsidRPr="00E12CB6" w:rsidRDefault="00E12CB6" w:rsidP="00E12CB6">
            <w:pPr>
              <w:spacing w:after="0" w:line="240" w:lineRule="auto"/>
              <w:rPr>
                <w:rFonts w:ascii="Times New Roman" w:eastAsia="Times New Roman" w:hAnsi="Times New Roman" w:cs="Times New Roman"/>
                <w:kern w:val="0"/>
                <w:lang w:eastAsia="en-GB"/>
                <w14:ligatures w14:val="none"/>
              </w:rPr>
            </w:pPr>
            <w:r w:rsidRPr="00E12CB6">
              <w:rPr>
                <w:rFonts w:ascii="Times New Roman" w:eastAsia="Times New Roman" w:hAnsi="Times New Roman" w:cs="Times New Roman"/>
                <w:b/>
                <w:bCs/>
                <w:kern w:val="0"/>
                <w:lang w:eastAsia="en-GB"/>
                <w14:ligatures w14:val="none"/>
              </w:rPr>
              <w:t>2</w:t>
            </w:r>
          </w:p>
        </w:tc>
        <w:tc>
          <w:tcPr>
            <w:tcW w:w="0" w:type="auto"/>
            <w:vAlign w:val="center"/>
            <w:hideMark/>
          </w:tcPr>
          <w:p w:rsidR="00E12CB6" w:rsidRPr="00E12CB6" w:rsidRDefault="00E12CB6" w:rsidP="00E12CB6">
            <w:pPr>
              <w:spacing w:after="0" w:line="240" w:lineRule="auto"/>
              <w:rPr>
                <w:rFonts w:ascii="Times New Roman" w:eastAsia="Times New Roman" w:hAnsi="Times New Roman" w:cs="Times New Roman"/>
                <w:kern w:val="0"/>
                <w:lang w:eastAsia="en-GB"/>
                <w14:ligatures w14:val="none"/>
              </w:rPr>
            </w:pPr>
            <w:r w:rsidRPr="00E12CB6">
              <w:rPr>
                <w:rFonts w:ascii="Times New Roman" w:eastAsia="Times New Roman" w:hAnsi="Times New Roman" w:cs="Times New Roman"/>
                <w:kern w:val="0"/>
                <w:lang w:eastAsia="en-GB"/>
                <w14:ligatures w14:val="none"/>
              </w:rPr>
              <w:t>Data Collection &amp; Preprocessing</w:t>
            </w:r>
          </w:p>
        </w:tc>
        <w:tc>
          <w:tcPr>
            <w:tcW w:w="0" w:type="auto"/>
            <w:vAlign w:val="center"/>
            <w:hideMark/>
          </w:tcPr>
          <w:p w:rsidR="00E12CB6" w:rsidRPr="00E12CB6" w:rsidRDefault="00E12CB6" w:rsidP="00E12CB6">
            <w:pPr>
              <w:spacing w:after="0" w:line="240" w:lineRule="auto"/>
              <w:rPr>
                <w:rFonts w:ascii="Times New Roman" w:eastAsia="Times New Roman" w:hAnsi="Times New Roman" w:cs="Times New Roman"/>
                <w:kern w:val="0"/>
                <w:lang w:eastAsia="en-GB"/>
                <w14:ligatures w14:val="none"/>
              </w:rPr>
            </w:pPr>
            <w:r w:rsidRPr="00E12CB6">
              <w:rPr>
                <w:rFonts w:ascii="Times New Roman" w:eastAsia="Times New Roman" w:hAnsi="Times New Roman" w:cs="Times New Roman"/>
                <w:kern w:val="0"/>
                <w:lang w:eastAsia="en-GB"/>
                <w14:ligatures w14:val="none"/>
              </w:rPr>
              <w:t>Acquire EUR/USD data, clean, handle missing values, engineer initial technical indicators.</w:t>
            </w:r>
          </w:p>
        </w:tc>
      </w:tr>
      <w:tr w:rsidR="00E12CB6" w:rsidRPr="00E12CB6" w:rsidTr="00E12CB6">
        <w:trPr>
          <w:tblCellSpacing w:w="15" w:type="dxa"/>
        </w:trPr>
        <w:tc>
          <w:tcPr>
            <w:tcW w:w="0" w:type="auto"/>
            <w:vAlign w:val="center"/>
            <w:hideMark/>
          </w:tcPr>
          <w:p w:rsidR="00E12CB6" w:rsidRPr="00E12CB6" w:rsidRDefault="00E12CB6" w:rsidP="00E12CB6">
            <w:pPr>
              <w:spacing w:after="0" w:line="240" w:lineRule="auto"/>
              <w:rPr>
                <w:rFonts w:ascii="Times New Roman" w:eastAsia="Times New Roman" w:hAnsi="Times New Roman" w:cs="Times New Roman"/>
                <w:kern w:val="0"/>
                <w:lang w:eastAsia="en-GB"/>
                <w14:ligatures w14:val="none"/>
              </w:rPr>
            </w:pPr>
            <w:r w:rsidRPr="00E12CB6">
              <w:rPr>
                <w:rFonts w:ascii="Times New Roman" w:eastAsia="Times New Roman" w:hAnsi="Times New Roman" w:cs="Times New Roman"/>
                <w:b/>
                <w:bCs/>
                <w:kern w:val="0"/>
                <w:lang w:eastAsia="en-GB"/>
                <w14:ligatures w14:val="none"/>
              </w:rPr>
              <w:t>3</w:t>
            </w:r>
          </w:p>
        </w:tc>
        <w:tc>
          <w:tcPr>
            <w:tcW w:w="0" w:type="auto"/>
            <w:vAlign w:val="center"/>
            <w:hideMark/>
          </w:tcPr>
          <w:p w:rsidR="00E12CB6" w:rsidRPr="00E12CB6" w:rsidRDefault="00E12CB6" w:rsidP="00E12CB6">
            <w:pPr>
              <w:spacing w:after="0" w:line="240" w:lineRule="auto"/>
              <w:rPr>
                <w:rFonts w:ascii="Times New Roman" w:eastAsia="Times New Roman" w:hAnsi="Times New Roman" w:cs="Times New Roman"/>
                <w:kern w:val="0"/>
                <w:lang w:eastAsia="en-GB"/>
                <w14:ligatures w14:val="none"/>
              </w:rPr>
            </w:pPr>
            <w:r w:rsidRPr="00E12CB6">
              <w:rPr>
                <w:rFonts w:ascii="Times New Roman" w:eastAsia="Times New Roman" w:hAnsi="Times New Roman" w:cs="Times New Roman"/>
                <w:kern w:val="0"/>
                <w:lang w:eastAsia="en-GB"/>
                <w14:ligatures w14:val="none"/>
              </w:rPr>
              <w:t>Exploratory Data Analysis (EDA)</w:t>
            </w:r>
          </w:p>
        </w:tc>
        <w:tc>
          <w:tcPr>
            <w:tcW w:w="0" w:type="auto"/>
            <w:vAlign w:val="center"/>
            <w:hideMark/>
          </w:tcPr>
          <w:p w:rsidR="00E12CB6" w:rsidRPr="00E12CB6" w:rsidRDefault="00E12CB6" w:rsidP="00E12CB6">
            <w:pPr>
              <w:spacing w:after="0" w:line="240" w:lineRule="auto"/>
              <w:rPr>
                <w:rFonts w:ascii="Times New Roman" w:eastAsia="Times New Roman" w:hAnsi="Times New Roman" w:cs="Times New Roman"/>
                <w:kern w:val="0"/>
                <w:lang w:eastAsia="en-GB"/>
                <w14:ligatures w14:val="none"/>
              </w:rPr>
            </w:pPr>
            <w:r w:rsidRPr="00E12CB6">
              <w:rPr>
                <w:rFonts w:ascii="Times New Roman" w:eastAsia="Times New Roman" w:hAnsi="Times New Roman" w:cs="Times New Roman"/>
                <w:kern w:val="0"/>
                <w:lang w:eastAsia="en-GB"/>
                <w14:ligatures w14:val="none"/>
              </w:rPr>
              <w:t>Analyze trends, seasonality, correlations, outliers. Visualize and validate engineered features.</w:t>
            </w:r>
          </w:p>
        </w:tc>
      </w:tr>
      <w:tr w:rsidR="00E12CB6" w:rsidRPr="00E12CB6" w:rsidTr="00E12CB6">
        <w:trPr>
          <w:tblCellSpacing w:w="15" w:type="dxa"/>
        </w:trPr>
        <w:tc>
          <w:tcPr>
            <w:tcW w:w="0" w:type="auto"/>
            <w:vAlign w:val="center"/>
            <w:hideMark/>
          </w:tcPr>
          <w:p w:rsidR="00E12CB6" w:rsidRPr="00E12CB6" w:rsidRDefault="00E12CB6" w:rsidP="00E12CB6">
            <w:pPr>
              <w:spacing w:after="0" w:line="240" w:lineRule="auto"/>
              <w:rPr>
                <w:rFonts w:ascii="Times New Roman" w:eastAsia="Times New Roman" w:hAnsi="Times New Roman" w:cs="Times New Roman"/>
                <w:kern w:val="0"/>
                <w:lang w:eastAsia="en-GB"/>
                <w14:ligatures w14:val="none"/>
              </w:rPr>
            </w:pPr>
            <w:r w:rsidRPr="00E12CB6">
              <w:rPr>
                <w:rFonts w:ascii="Times New Roman" w:eastAsia="Times New Roman" w:hAnsi="Times New Roman" w:cs="Times New Roman"/>
                <w:b/>
                <w:bCs/>
                <w:kern w:val="0"/>
                <w:lang w:eastAsia="en-GB"/>
                <w14:ligatures w14:val="none"/>
              </w:rPr>
              <w:t>4–5</w:t>
            </w:r>
          </w:p>
        </w:tc>
        <w:tc>
          <w:tcPr>
            <w:tcW w:w="0" w:type="auto"/>
            <w:vAlign w:val="center"/>
            <w:hideMark/>
          </w:tcPr>
          <w:p w:rsidR="00E12CB6" w:rsidRPr="00E12CB6" w:rsidRDefault="00E12CB6" w:rsidP="00E12CB6">
            <w:pPr>
              <w:spacing w:after="0" w:line="240" w:lineRule="auto"/>
              <w:rPr>
                <w:rFonts w:ascii="Times New Roman" w:eastAsia="Times New Roman" w:hAnsi="Times New Roman" w:cs="Times New Roman"/>
                <w:kern w:val="0"/>
                <w:lang w:eastAsia="en-GB"/>
                <w14:ligatures w14:val="none"/>
              </w:rPr>
            </w:pPr>
            <w:r w:rsidRPr="00E12CB6">
              <w:rPr>
                <w:rFonts w:ascii="Times New Roman" w:eastAsia="Times New Roman" w:hAnsi="Times New Roman" w:cs="Times New Roman"/>
                <w:kern w:val="0"/>
                <w:lang w:eastAsia="en-GB"/>
                <w14:ligatures w14:val="none"/>
              </w:rPr>
              <w:t>LSTM Model Development</w:t>
            </w:r>
          </w:p>
        </w:tc>
        <w:tc>
          <w:tcPr>
            <w:tcW w:w="0" w:type="auto"/>
            <w:vAlign w:val="center"/>
            <w:hideMark/>
          </w:tcPr>
          <w:p w:rsidR="00E12CB6" w:rsidRPr="00E12CB6" w:rsidRDefault="00E12CB6" w:rsidP="00E12CB6">
            <w:pPr>
              <w:spacing w:after="0" w:line="240" w:lineRule="auto"/>
              <w:rPr>
                <w:rFonts w:ascii="Times New Roman" w:eastAsia="Times New Roman" w:hAnsi="Times New Roman" w:cs="Times New Roman"/>
                <w:kern w:val="0"/>
                <w:lang w:eastAsia="en-GB"/>
                <w14:ligatures w14:val="none"/>
              </w:rPr>
            </w:pPr>
            <w:r w:rsidRPr="00E12CB6">
              <w:rPr>
                <w:rFonts w:ascii="Times New Roman" w:eastAsia="Times New Roman" w:hAnsi="Times New Roman" w:cs="Times New Roman"/>
                <w:kern w:val="0"/>
                <w:lang w:eastAsia="en-GB"/>
                <w14:ligatures w14:val="none"/>
              </w:rPr>
              <w:t>Implement and tune LSTM using Keras. Conduct cross-validation and monitor performance metrics.</w:t>
            </w:r>
          </w:p>
        </w:tc>
      </w:tr>
      <w:tr w:rsidR="00E12CB6" w:rsidRPr="00E12CB6" w:rsidTr="00E12CB6">
        <w:trPr>
          <w:tblCellSpacing w:w="15" w:type="dxa"/>
        </w:trPr>
        <w:tc>
          <w:tcPr>
            <w:tcW w:w="0" w:type="auto"/>
            <w:vAlign w:val="center"/>
            <w:hideMark/>
          </w:tcPr>
          <w:p w:rsidR="00E12CB6" w:rsidRPr="00E12CB6" w:rsidRDefault="00E12CB6" w:rsidP="00E12CB6">
            <w:pPr>
              <w:spacing w:after="0" w:line="240" w:lineRule="auto"/>
              <w:rPr>
                <w:rFonts w:ascii="Times New Roman" w:eastAsia="Times New Roman" w:hAnsi="Times New Roman" w:cs="Times New Roman"/>
                <w:kern w:val="0"/>
                <w:lang w:eastAsia="en-GB"/>
                <w14:ligatures w14:val="none"/>
              </w:rPr>
            </w:pPr>
            <w:r w:rsidRPr="00E12CB6">
              <w:rPr>
                <w:rFonts w:ascii="Times New Roman" w:eastAsia="Times New Roman" w:hAnsi="Times New Roman" w:cs="Times New Roman"/>
                <w:b/>
                <w:bCs/>
                <w:kern w:val="0"/>
                <w:lang w:eastAsia="en-GB"/>
                <w14:ligatures w14:val="none"/>
              </w:rPr>
              <w:t>6–7</w:t>
            </w:r>
          </w:p>
        </w:tc>
        <w:tc>
          <w:tcPr>
            <w:tcW w:w="0" w:type="auto"/>
            <w:vAlign w:val="center"/>
            <w:hideMark/>
          </w:tcPr>
          <w:p w:rsidR="00E12CB6" w:rsidRPr="00E12CB6" w:rsidRDefault="00E12CB6" w:rsidP="00E12CB6">
            <w:pPr>
              <w:spacing w:after="0" w:line="240" w:lineRule="auto"/>
              <w:rPr>
                <w:rFonts w:ascii="Times New Roman" w:eastAsia="Times New Roman" w:hAnsi="Times New Roman" w:cs="Times New Roman"/>
                <w:kern w:val="0"/>
                <w:lang w:eastAsia="en-GB"/>
                <w14:ligatures w14:val="none"/>
              </w:rPr>
            </w:pPr>
            <w:r w:rsidRPr="00E12CB6">
              <w:rPr>
                <w:rFonts w:ascii="Times New Roman" w:eastAsia="Times New Roman" w:hAnsi="Times New Roman" w:cs="Times New Roman"/>
                <w:kern w:val="0"/>
                <w:lang w:eastAsia="en-GB"/>
                <w14:ligatures w14:val="none"/>
              </w:rPr>
              <w:t>TFT Model Development</w:t>
            </w:r>
          </w:p>
        </w:tc>
        <w:tc>
          <w:tcPr>
            <w:tcW w:w="0" w:type="auto"/>
            <w:vAlign w:val="center"/>
            <w:hideMark/>
          </w:tcPr>
          <w:p w:rsidR="00E12CB6" w:rsidRPr="00E12CB6" w:rsidRDefault="00E12CB6" w:rsidP="00E12CB6">
            <w:pPr>
              <w:spacing w:after="0" w:line="240" w:lineRule="auto"/>
              <w:rPr>
                <w:rFonts w:ascii="Times New Roman" w:eastAsia="Times New Roman" w:hAnsi="Times New Roman" w:cs="Times New Roman"/>
                <w:kern w:val="0"/>
                <w:lang w:eastAsia="en-GB"/>
                <w14:ligatures w14:val="none"/>
              </w:rPr>
            </w:pPr>
            <w:r w:rsidRPr="00E12CB6">
              <w:rPr>
                <w:rFonts w:ascii="Times New Roman" w:eastAsia="Times New Roman" w:hAnsi="Times New Roman" w:cs="Times New Roman"/>
                <w:kern w:val="0"/>
                <w:lang w:eastAsia="en-GB"/>
                <w14:ligatures w14:val="none"/>
              </w:rPr>
              <w:t>Implement TFT using PyTorch Forecasting. Include temporal and feature attention diagnostics.</w:t>
            </w:r>
          </w:p>
        </w:tc>
      </w:tr>
      <w:tr w:rsidR="00E12CB6" w:rsidRPr="00E12CB6" w:rsidTr="00E12CB6">
        <w:trPr>
          <w:tblCellSpacing w:w="15" w:type="dxa"/>
        </w:trPr>
        <w:tc>
          <w:tcPr>
            <w:tcW w:w="0" w:type="auto"/>
            <w:vAlign w:val="center"/>
            <w:hideMark/>
          </w:tcPr>
          <w:p w:rsidR="00E12CB6" w:rsidRPr="00E12CB6" w:rsidRDefault="00E12CB6" w:rsidP="00E12CB6">
            <w:pPr>
              <w:spacing w:after="0" w:line="240" w:lineRule="auto"/>
              <w:rPr>
                <w:rFonts w:ascii="Times New Roman" w:eastAsia="Times New Roman" w:hAnsi="Times New Roman" w:cs="Times New Roman"/>
                <w:kern w:val="0"/>
                <w:lang w:eastAsia="en-GB"/>
                <w14:ligatures w14:val="none"/>
              </w:rPr>
            </w:pPr>
            <w:r w:rsidRPr="00E12CB6">
              <w:rPr>
                <w:rFonts w:ascii="Times New Roman" w:eastAsia="Times New Roman" w:hAnsi="Times New Roman" w:cs="Times New Roman"/>
                <w:b/>
                <w:bCs/>
                <w:kern w:val="0"/>
                <w:lang w:eastAsia="en-GB"/>
                <w14:ligatures w14:val="none"/>
              </w:rPr>
              <w:t>8</w:t>
            </w:r>
          </w:p>
        </w:tc>
        <w:tc>
          <w:tcPr>
            <w:tcW w:w="0" w:type="auto"/>
            <w:vAlign w:val="center"/>
            <w:hideMark/>
          </w:tcPr>
          <w:p w:rsidR="00E12CB6" w:rsidRPr="00E12CB6" w:rsidRDefault="00E12CB6" w:rsidP="00E12CB6">
            <w:pPr>
              <w:spacing w:after="0" w:line="240" w:lineRule="auto"/>
              <w:rPr>
                <w:rFonts w:ascii="Times New Roman" w:eastAsia="Times New Roman" w:hAnsi="Times New Roman" w:cs="Times New Roman"/>
                <w:kern w:val="0"/>
                <w:lang w:eastAsia="en-GB"/>
                <w14:ligatures w14:val="none"/>
              </w:rPr>
            </w:pPr>
            <w:r w:rsidRPr="00E12CB6">
              <w:rPr>
                <w:rFonts w:ascii="Times New Roman" w:eastAsia="Times New Roman" w:hAnsi="Times New Roman" w:cs="Times New Roman"/>
                <w:kern w:val="0"/>
                <w:lang w:eastAsia="en-GB"/>
                <w14:ligatures w14:val="none"/>
              </w:rPr>
              <w:t>Evaluation &amp; Comparison</w:t>
            </w:r>
          </w:p>
        </w:tc>
        <w:tc>
          <w:tcPr>
            <w:tcW w:w="0" w:type="auto"/>
            <w:vAlign w:val="center"/>
            <w:hideMark/>
          </w:tcPr>
          <w:p w:rsidR="00E12CB6" w:rsidRPr="00E12CB6" w:rsidRDefault="00E12CB6" w:rsidP="00E12CB6">
            <w:pPr>
              <w:spacing w:after="0" w:line="240" w:lineRule="auto"/>
              <w:rPr>
                <w:rFonts w:ascii="Times New Roman" w:eastAsia="Times New Roman" w:hAnsi="Times New Roman" w:cs="Times New Roman"/>
                <w:kern w:val="0"/>
                <w:lang w:eastAsia="en-GB"/>
                <w14:ligatures w14:val="none"/>
              </w:rPr>
            </w:pPr>
            <w:r w:rsidRPr="00E12CB6">
              <w:rPr>
                <w:rFonts w:ascii="Times New Roman" w:eastAsia="Times New Roman" w:hAnsi="Times New Roman" w:cs="Times New Roman"/>
                <w:kern w:val="0"/>
                <w:lang w:eastAsia="en-GB"/>
                <w14:ligatures w14:val="none"/>
              </w:rPr>
              <w:t>Compare models using RMSE, MAE, directional accuracy, and interpretability tools (SHAP, attention plots).</w:t>
            </w:r>
          </w:p>
        </w:tc>
      </w:tr>
      <w:tr w:rsidR="00E12CB6" w:rsidRPr="00E12CB6" w:rsidTr="00E12CB6">
        <w:trPr>
          <w:tblCellSpacing w:w="15" w:type="dxa"/>
        </w:trPr>
        <w:tc>
          <w:tcPr>
            <w:tcW w:w="0" w:type="auto"/>
            <w:vAlign w:val="center"/>
            <w:hideMark/>
          </w:tcPr>
          <w:p w:rsidR="00E12CB6" w:rsidRPr="00E12CB6" w:rsidRDefault="00E12CB6" w:rsidP="00E12CB6">
            <w:pPr>
              <w:spacing w:after="0" w:line="240" w:lineRule="auto"/>
              <w:rPr>
                <w:rFonts w:ascii="Times New Roman" w:eastAsia="Times New Roman" w:hAnsi="Times New Roman" w:cs="Times New Roman"/>
                <w:kern w:val="0"/>
                <w:lang w:eastAsia="en-GB"/>
                <w14:ligatures w14:val="none"/>
              </w:rPr>
            </w:pPr>
            <w:r w:rsidRPr="00E12CB6">
              <w:rPr>
                <w:rFonts w:ascii="Times New Roman" w:eastAsia="Times New Roman" w:hAnsi="Times New Roman" w:cs="Times New Roman"/>
                <w:b/>
                <w:bCs/>
                <w:kern w:val="0"/>
                <w:lang w:eastAsia="en-GB"/>
                <w14:ligatures w14:val="none"/>
              </w:rPr>
              <w:t>9</w:t>
            </w:r>
          </w:p>
        </w:tc>
        <w:tc>
          <w:tcPr>
            <w:tcW w:w="0" w:type="auto"/>
            <w:vAlign w:val="center"/>
            <w:hideMark/>
          </w:tcPr>
          <w:p w:rsidR="00E12CB6" w:rsidRPr="00E12CB6" w:rsidRDefault="00E12CB6" w:rsidP="00E12CB6">
            <w:pPr>
              <w:spacing w:after="0" w:line="240" w:lineRule="auto"/>
              <w:rPr>
                <w:rFonts w:ascii="Times New Roman" w:eastAsia="Times New Roman" w:hAnsi="Times New Roman" w:cs="Times New Roman"/>
                <w:kern w:val="0"/>
                <w:lang w:eastAsia="en-GB"/>
                <w14:ligatures w14:val="none"/>
              </w:rPr>
            </w:pPr>
            <w:r w:rsidRPr="00E12CB6">
              <w:rPr>
                <w:rFonts w:ascii="Times New Roman" w:eastAsia="Times New Roman" w:hAnsi="Times New Roman" w:cs="Times New Roman"/>
                <w:kern w:val="0"/>
                <w:lang w:eastAsia="en-GB"/>
                <w14:ligatures w14:val="none"/>
              </w:rPr>
              <w:t>Explainability Analysis</w:t>
            </w:r>
          </w:p>
        </w:tc>
        <w:tc>
          <w:tcPr>
            <w:tcW w:w="0" w:type="auto"/>
            <w:vAlign w:val="center"/>
            <w:hideMark/>
          </w:tcPr>
          <w:p w:rsidR="00E12CB6" w:rsidRPr="00E12CB6" w:rsidRDefault="00E12CB6" w:rsidP="00E12CB6">
            <w:pPr>
              <w:spacing w:after="0" w:line="240" w:lineRule="auto"/>
              <w:rPr>
                <w:rFonts w:ascii="Times New Roman" w:eastAsia="Times New Roman" w:hAnsi="Times New Roman" w:cs="Times New Roman"/>
                <w:kern w:val="0"/>
                <w:lang w:eastAsia="en-GB"/>
                <w14:ligatures w14:val="none"/>
              </w:rPr>
            </w:pPr>
            <w:r w:rsidRPr="00E12CB6">
              <w:rPr>
                <w:rFonts w:ascii="Times New Roman" w:eastAsia="Times New Roman" w:hAnsi="Times New Roman" w:cs="Times New Roman"/>
                <w:kern w:val="0"/>
                <w:lang w:eastAsia="en-GB"/>
                <w14:ligatures w14:val="none"/>
              </w:rPr>
              <w:t>Deep dive into feature importance (SHAP for LSTM; attention weights for TFT).</w:t>
            </w:r>
          </w:p>
        </w:tc>
      </w:tr>
      <w:tr w:rsidR="00E12CB6" w:rsidRPr="00E12CB6" w:rsidTr="00E12CB6">
        <w:trPr>
          <w:tblCellSpacing w:w="15" w:type="dxa"/>
        </w:trPr>
        <w:tc>
          <w:tcPr>
            <w:tcW w:w="0" w:type="auto"/>
            <w:vAlign w:val="center"/>
            <w:hideMark/>
          </w:tcPr>
          <w:p w:rsidR="00E12CB6" w:rsidRPr="00E12CB6" w:rsidRDefault="00E12CB6" w:rsidP="00E12CB6">
            <w:pPr>
              <w:spacing w:after="0" w:line="240" w:lineRule="auto"/>
              <w:rPr>
                <w:rFonts w:ascii="Times New Roman" w:eastAsia="Times New Roman" w:hAnsi="Times New Roman" w:cs="Times New Roman"/>
                <w:kern w:val="0"/>
                <w:lang w:eastAsia="en-GB"/>
                <w14:ligatures w14:val="none"/>
              </w:rPr>
            </w:pPr>
            <w:r w:rsidRPr="00E12CB6">
              <w:rPr>
                <w:rFonts w:ascii="Times New Roman" w:eastAsia="Times New Roman" w:hAnsi="Times New Roman" w:cs="Times New Roman"/>
                <w:b/>
                <w:bCs/>
                <w:kern w:val="0"/>
                <w:lang w:eastAsia="en-GB"/>
                <w14:ligatures w14:val="none"/>
              </w:rPr>
              <w:t>10</w:t>
            </w:r>
          </w:p>
        </w:tc>
        <w:tc>
          <w:tcPr>
            <w:tcW w:w="0" w:type="auto"/>
            <w:vAlign w:val="center"/>
            <w:hideMark/>
          </w:tcPr>
          <w:p w:rsidR="00E12CB6" w:rsidRPr="00E12CB6" w:rsidRDefault="00E12CB6" w:rsidP="00E12CB6">
            <w:pPr>
              <w:spacing w:after="0" w:line="240" w:lineRule="auto"/>
              <w:rPr>
                <w:rFonts w:ascii="Times New Roman" w:eastAsia="Times New Roman" w:hAnsi="Times New Roman" w:cs="Times New Roman"/>
                <w:kern w:val="0"/>
                <w:lang w:eastAsia="en-GB"/>
                <w14:ligatures w14:val="none"/>
              </w:rPr>
            </w:pPr>
            <w:r w:rsidRPr="00E12CB6">
              <w:rPr>
                <w:rFonts w:ascii="Times New Roman" w:eastAsia="Times New Roman" w:hAnsi="Times New Roman" w:cs="Times New Roman"/>
                <w:kern w:val="0"/>
                <w:lang w:eastAsia="en-GB"/>
                <w14:ligatures w14:val="none"/>
              </w:rPr>
              <w:t>Drafting Results &amp; Discussion</w:t>
            </w:r>
          </w:p>
        </w:tc>
        <w:tc>
          <w:tcPr>
            <w:tcW w:w="0" w:type="auto"/>
            <w:vAlign w:val="center"/>
            <w:hideMark/>
          </w:tcPr>
          <w:p w:rsidR="00E12CB6" w:rsidRPr="00E12CB6" w:rsidRDefault="00E12CB6" w:rsidP="00E12CB6">
            <w:pPr>
              <w:spacing w:after="0" w:line="240" w:lineRule="auto"/>
              <w:rPr>
                <w:rFonts w:ascii="Times New Roman" w:eastAsia="Times New Roman" w:hAnsi="Times New Roman" w:cs="Times New Roman"/>
                <w:kern w:val="0"/>
                <w:lang w:eastAsia="en-GB"/>
                <w14:ligatures w14:val="none"/>
              </w:rPr>
            </w:pPr>
            <w:r w:rsidRPr="00E12CB6">
              <w:rPr>
                <w:rFonts w:ascii="Times New Roman" w:eastAsia="Times New Roman" w:hAnsi="Times New Roman" w:cs="Times New Roman"/>
                <w:kern w:val="0"/>
                <w:lang w:eastAsia="en-GB"/>
                <w14:ligatures w14:val="none"/>
              </w:rPr>
              <w:t>Prepare visualizations and tables. Write up model evaluation, insights, and interpretations.</w:t>
            </w:r>
          </w:p>
        </w:tc>
      </w:tr>
      <w:tr w:rsidR="00E12CB6" w:rsidRPr="00E12CB6" w:rsidTr="00E12CB6">
        <w:trPr>
          <w:tblCellSpacing w:w="15" w:type="dxa"/>
        </w:trPr>
        <w:tc>
          <w:tcPr>
            <w:tcW w:w="0" w:type="auto"/>
            <w:vAlign w:val="center"/>
            <w:hideMark/>
          </w:tcPr>
          <w:p w:rsidR="00E12CB6" w:rsidRPr="00E12CB6" w:rsidRDefault="00E12CB6" w:rsidP="00E12CB6">
            <w:pPr>
              <w:spacing w:after="0" w:line="240" w:lineRule="auto"/>
              <w:rPr>
                <w:rFonts w:ascii="Times New Roman" w:eastAsia="Times New Roman" w:hAnsi="Times New Roman" w:cs="Times New Roman"/>
                <w:kern w:val="0"/>
                <w:lang w:eastAsia="en-GB"/>
                <w14:ligatures w14:val="none"/>
              </w:rPr>
            </w:pPr>
            <w:r w:rsidRPr="00E12CB6">
              <w:rPr>
                <w:rFonts w:ascii="Times New Roman" w:eastAsia="Times New Roman" w:hAnsi="Times New Roman" w:cs="Times New Roman"/>
                <w:b/>
                <w:bCs/>
                <w:kern w:val="0"/>
                <w:lang w:eastAsia="en-GB"/>
                <w14:ligatures w14:val="none"/>
              </w:rPr>
              <w:t>11</w:t>
            </w:r>
          </w:p>
        </w:tc>
        <w:tc>
          <w:tcPr>
            <w:tcW w:w="0" w:type="auto"/>
            <w:vAlign w:val="center"/>
            <w:hideMark/>
          </w:tcPr>
          <w:p w:rsidR="00E12CB6" w:rsidRPr="00E12CB6" w:rsidRDefault="00E12CB6" w:rsidP="00E12CB6">
            <w:pPr>
              <w:spacing w:after="0" w:line="240" w:lineRule="auto"/>
              <w:rPr>
                <w:rFonts w:ascii="Times New Roman" w:eastAsia="Times New Roman" w:hAnsi="Times New Roman" w:cs="Times New Roman"/>
                <w:kern w:val="0"/>
                <w:lang w:eastAsia="en-GB"/>
                <w14:ligatures w14:val="none"/>
              </w:rPr>
            </w:pPr>
            <w:r w:rsidRPr="00E12CB6">
              <w:rPr>
                <w:rFonts w:ascii="Times New Roman" w:eastAsia="Times New Roman" w:hAnsi="Times New Roman" w:cs="Times New Roman"/>
                <w:kern w:val="0"/>
                <w:lang w:eastAsia="en-GB"/>
                <w14:ligatures w14:val="none"/>
              </w:rPr>
              <w:t>Writing Full Report</w:t>
            </w:r>
          </w:p>
        </w:tc>
        <w:tc>
          <w:tcPr>
            <w:tcW w:w="0" w:type="auto"/>
            <w:vAlign w:val="center"/>
            <w:hideMark/>
          </w:tcPr>
          <w:p w:rsidR="00E12CB6" w:rsidRPr="00E12CB6" w:rsidRDefault="00E12CB6" w:rsidP="00E12CB6">
            <w:pPr>
              <w:spacing w:after="0" w:line="240" w:lineRule="auto"/>
              <w:rPr>
                <w:rFonts w:ascii="Times New Roman" w:eastAsia="Times New Roman" w:hAnsi="Times New Roman" w:cs="Times New Roman"/>
                <w:kern w:val="0"/>
                <w:lang w:eastAsia="en-GB"/>
                <w14:ligatures w14:val="none"/>
              </w:rPr>
            </w:pPr>
            <w:r w:rsidRPr="00E12CB6">
              <w:rPr>
                <w:rFonts w:ascii="Times New Roman" w:eastAsia="Times New Roman" w:hAnsi="Times New Roman" w:cs="Times New Roman"/>
                <w:kern w:val="0"/>
                <w:lang w:eastAsia="en-GB"/>
                <w14:ligatures w14:val="none"/>
              </w:rPr>
              <w:t>Draft remaining chapters: Introduction, Methodology, and Literature Review. Edit all sections.</w:t>
            </w:r>
          </w:p>
        </w:tc>
      </w:tr>
      <w:tr w:rsidR="00E12CB6" w:rsidRPr="00E12CB6" w:rsidTr="00E12CB6">
        <w:trPr>
          <w:tblCellSpacing w:w="15" w:type="dxa"/>
        </w:trPr>
        <w:tc>
          <w:tcPr>
            <w:tcW w:w="0" w:type="auto"/>
            <w:vAlign w:val="center"/>
            <w:hideMark/>
          </w:tcPr>
          <w:p w:rsidR="00E12CB6" w:rsidRPr="00E12CB6" w:rsidRDefault="00E12CB6" w:rsidP="00E12CB6">
            <w:pPr>
              <w:spacing w:after="0" w:line="240" w:lineRule="auto"/>
              <w:rPr>
                <w:rFonts w:ascii="Times New Roman" w:eastAsia="Times New Roman" w:hAnsi="Times New Roman" w:cs="Times New Roman"/>
                <w:kern w:val="0"/>
                <w:lang w:eastAsia="en-GB"/>
                <w14:ligatures w14:val="none"/>
              </w:rPr>
            </w:pPr>
            <w:r w:rsidRPr="00E12CB6">
              <w:rPr>
                <w:rFonts w:ascii="Times New Roman" w:eastAsia="Times New Roman" w:hAnsi="Times New Roman" w:cs="Times New Roman"/>
                <w:b/>
                <w:bCs/>
                <w:kern w:val="0"/>
                <w:lang w:eastAsia="en-GB"/>
                <w14:ligatures w14:val="none"/>
              </w:rPr>
              <w:t>12</w:t>
            </w:r>
          </w:p>
        </w:tc>
        <w:tc>
          <w:tcPr>
            <w:tcW w:w="0" w:type="auto"/>
            <w:vAlign w:val="center"/>
            <w:hideMark/>
          </w:tcPr>
          <w:p w:rsidR="00E12CB6" w:rsidRPr="00E12CB6" w:rsidRDefault="00E12CB6" w:rsidP="00E12CB6">
            <w:pPr>
              <w:spacing w:after="0" w:line="240" w:lineRule="auto"/>
              <w:rPr>
                <w:rFonts w:ascii="Times New Roman" w:eastAsia="Times New Roman" w:hAnsi="Times New Roman" w:cs="Times New Roman"/>
                <w:kern w:val="0"/>
                <w:lang w:eastAsia="en-GB"/>
                <w14:ligatures w14:val="none"/>
              </w:rPr>
            </w:pPr>
            <w:r w:rsidRPr="00E12CB6">
              <w:rPr>
                <w:rFonts w:ascii="Times New Roman" w:eastAsia="Times New Roman" w:hAnsi="Times New Roman" w:cs="Times New Roman"/>
                <w:kern w:val="0"/>
                <w:lang w:eastAsia="en-GB"/>
                <w14:ligatures w14:val="none"/>
              </w:rPr>
              <w:t>Final Review and Submission</w:t>
            </w:r>
          </w:p>
        </w:tc>
        <w:tc>
          <w:tcPr>
            <w:tcW w:w="0" w:type="auto"/>
            <w:vAlign w:val="center"/>
            <w:hideMark/>
          </w:tcPr>
          <w:p w:rsidR="00E12CB6" w:rsidRPr="00E12CB6" w:rsidRDefault="00E12CB6" w:rsidP="00E12CB6">
            <w:pPr>
              <w:spacing w:after="0" w:line="240" w:lineRule="auto"/>
              <w:rPr>
                <w:rFonts w:ascii="Times New Roman" w:eastAsia="Times New Roman" w:hAnsi="Times New Roman" w:cs="Times New Roman"/>
                <w:kern w:val="0"/>
                <w:lang w:eastAsia="en-GB"/>
                <w14:ligatures w14:val="none"/>
              </w:rPr>
            </w:pPr>
            <w:r w:rsidRPr="00E12CB6">
              <w:rPr>
                <w:rFonts w:ascii="Times New Roman" w:eastAsia="Times New Roman" w:hAnsi="Times New Roman" w:cs="Times New Roman"/>
                <w:kern w:val="0"/>
                <w:lang w:eastAsia="en-GB"/>
                <w14:ligatures w14:val="none"/>
              </w:rPr>
              <w:t>Proofreading, format checks, Turnitin submission, and supervisor feedback incorporation.</w:t>
            </w:r>
          </w:p>
        </w:tc>
      </w:tr>
    </w:tbl>
    <w:p w:rsidR="00E12CB6" w:rsidRDefault="00E12CB6">
      <w:pPr>
        <w:rPr>
          <w:rFonts w:ascii="Times New Roman" w:eastAsia="Times New Roman" w:hAnsi="Times New Roman" w:cs="Times New Roman"/>
          <w:kern w:val="0"/>
          <w:lang w:eastAsia="en-GB"/>
          <w14:ligatures w14:val="none"/>
        </w:rPr>
      </w:pPr>
    </w:p>
    <w:p w:rsidR="00CE263B" w:rsidRPr="00CE263B" w:rsidRDefault="00CE263B" w:rsidP="00F33C0C">
      <w:pPr>
        <w:spacing w:before="100" w:beforeAutospacing="1" w:after="100" w:afterAutospacing="1" w:line="240" w:lineRule="auto"/>
        <w:rPr>
          <w:rFonts w:ascii="Times New Roman" w:eastAsia="Times New Roman" w:hAnsi="Times New Roman" w:cs="Times New Roman"/>
          <w:kern w:val="0"/>
          <w:lang w:eastAsia="en-GB"/>
          <w14:ligatures w14:val="none"/>
        </w:rPr>
      </w:pPr>
    </w:p>
    <w:p w:rsidR="00E12CB6" w:rsidRDefault="00E12CB6">
      <w:pPr>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br w:type="page"/>
      </w:r>
    </w:p>
    <w:p w:rsidR="00CE263B" w:rsidRDefault="00E12CB6" w:rsidP="00E12CB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12CB6">
        <w:rPr>
          <w:rFonts w:ascii="Times New Roman" w:eastAsia="Times New Roman" w:hAnsi="Times New Roman" w:cs="Times New Roman"/>
          <w:b/>
          <w:bCs/>
          <w:kern w:val="0"/>
          <w:sz w:val="36"/>
          <w:szCs w:val="36"/>
          <w:lang w:eastAsia="en-GB"/>
          <w14:ligatures w14:val="none"/>
        </w:rPr>
        <w:lastRenderedPageBreak/>
        <w:t>References</w:t>
      </w:r>
    </w:p>
    <w:p w:rsidR="00E12CB6" w:rsidRDefault="00E12CB6" w:rsidP="00E12CB6">
      <w:pPr>
        <w:pStyle w:val="NormalWeb"/>
      </w:pPr>
      <w:r>
        <w:t xml:space="preserve">Achelis, S. B. (2001). </w:t>
      </w:r>
      <w:r>
        <w:rPr>
          <w:rStyle w:val="Emphasis"/>
          <w:rFonts w:eastAsiaTheme="majorEastAsia"/>
        </w:rPr>
        <w:t>Technical analysis from A to Z</w:t>
      </w:r>
      <w:r>
        <w:t xml:space="preserve"> (2nd ed.). McGraw-Hill.</w:t>
      </w:r>
    </w:p>
    <w:p w:rsidR="00E12CB6" w:rsidRDefault="00E12CB6" w:rsidP="00E12CB6">
      <w:pPr>
        <w:pStyle w:val="NormalWeb"/>
      </w:pPr>
      <w:r>
        <w:t xml:space="preserve">Baillie, R. T., &amp; Morana, C. (2009). Modelling long memory and structural breaks in conditional variances: An adaptive FIGARCH approach. </w:t>
      </w:r>
      <w:r>
        <w:rPr>
          <w:rStyle w:val="Emphasis"/>
          <w:rFonts w:eastAsiaTheme="majorEastAsia"/>
        </w:rPr>
        <w:t>Journal of Empirical Finance, 16</w:t>
      </w:r>
      <w:r>
        <w:t>(3), 387–400. https://doi.org/10.1016/j.jempfin.2009.01.001</w:t>
      </w:r>
    </w:p>
    <w:p w:rsidR="00E12CB6" w:rsidRDefault="00E12CB6" w:rsidP="00E12CB6">
      <w:pPr>
        <w:pStyle w:val="NormalWeb"/>
      </w:pPr>
      <w:r>
        <w:t xml:space="preserve">Bank for International Settlements. (2022). </w:t>
      </w:r>
      <w:r>
        <w:rPr>
          <w:rStyle w:val="Emphasis"/>
          <w:rFonts w:eastAsiaTheme="majorEastAsia"/>
        </w:rPr>
        <w:t>Triennial Central Bank Survey: Foreign exchange turnover in April 2022</w:t>
      </w:r>
      <w:r>
        <w:t>. https://www.bis.org/statistics/rpfx22.htm</w:t>
      </w:r>
    </w:p>
    <w:p w:rsidR="00E12CB6" w:rsidRDefault="00E12CB6" w:rsidP="00E12CB6">
      <w:pPr>
        <w:pStyle w:val="NormalWeb"/>
      </w:pPr>
      <w:r>
        <w:t xml:space="preserve">Bollerslev, T. (1986). Generalized autoregressive conditional heteroskedasticity. </w:t>
      </w:r>
      <w:r>
        <w:rPr>
          <w:rStyle w:val="Emphasis"/>
          <w:rFonts w:eastAsiaTheme="majorEastAsia"/>
        </w:rPr>
        <w:t>Journal of Econometrics, 31</w:t>
      </w:r>
      <w:r>
        <w:t>(3), 307–327. https://doi.org/10.1016/0304-4076(86)90063-1</w:t>
      </w:r>
    </w:p>
    <w:p w:rsidR="00E12CB6" w:rsidRDefault="00E12CB6" w:rsidP="00E12CB6">
      <w:pPr>
        <w:pStyle w:val="NormalWeb"/>
      </w:pPr>
      <w:r>
        <w:t xml:space="preserve">Box, G. E., &amp; Jenkins, G. M. (2015). </w:t>
      </w:r>
      <w:r>
        <w:rPr>
          <w:rStyle w:val="Emphasis"/>
          <w:rFonts w:eastAsiaTheme="majorEastAsia"/>
        </w:rPr>
        <w:t>Time series analysis: Forecasting and control</w:t>
      </w:r>
      <w:r>
        <w:t xml:space="preserve"> (5th ed.). Wiley.</w:t>
      </w:r>
    </w:p>
    <w:p w:rsidR="00E12CB6" w:rsidRDefault="00E12CB6" w:rsidP="00E12CB6">
      <w:pPr>
        <w:pStyle w:val="NormalWeb"/>
      </w:pPr>
      <w:r>
        <w:t xml:space="preserve">Chen, Y., Hao, W., &amp; Wang, Z. (2019). A machine learning model for FX market prediction using technical indicators. </w:t>
      </w:r>
      <w:r>
        <w:rPr>
          <w:rStyle w:val="Emphasis"/>
          <w:rFonts w:eastAsiaTheme="majorEastAsia"/>
        </w:rPr>
        <w:t>Expert Systems with Applications, 133</w:t>
      </w:r>
      <w:r>
        <w:t>, 288–302. https://doi.org/10.1016/j.eswa.2019.05.043</w:t>
      </w:r>
    </w:p>
    <w:p w:rsidR="00E12CB6" w:rsidRDefault="00E12CB6" w:rsidP="00E12CB6">
      <w:pPr>
        <w:pStyle w:val="NormalWeb"/>
      </w:pPr>
      <w:r>
        <w:t xml:space="preserve">Cont, R. (2001). Empirical properties of asset returns: Stylized facts and statistical issues. </w:t>
      </w:r>
      <w:r>
        <w:rPr>
          <w:rStyle w:val="Emphasis"/>
          <w:rFonts w:eastAsiaTheme="majorEastAsia"/>
        </w:rPr>
        <w:t>Quantitative Finance, 1</w:t>
      </w:r>
      <w:r>
        <w:t>(2), 223–236. https://doi.org/10.1080/713665670</w:t>
      </w:r>
    </w:p>
    <w:p w:rsidR="00E12CB6" w:rsidRDefault="00E12CB6" w:rsidP="00E12CB6">
      <w:pPr>
        <w:pStyle w:val="NormalWeb"/>
      </w:pPr>
      <w:r>
        <w:t xml:space="preserve">De Pooter, M. (2007). Examining the sources of changes in the long-term nominal interest rate. </w:t>
      </w:r>
      <w:r>
        <w:rPr>
          <w:rStyle w:val="Emphasis"/>
          <w:rFonts w:eastAsiaTheme="majorEastAsia"/>
        </w:rPr>
        <w:t>Journal of Applied Econometrics, 22</w:t>
      </w:r>
      <w:r>
        <w:t>(3), 455–479. https://doi.org/10.1002/jae.929</w:t>
      </w:r>
    </w:p>
    <w:p w:rsidR="00E12CB6" w:rsidRDefault="00E12CB6" w:rsidP="00E12CB6">
      <w:pPr>
        <w:pStyle w:val="NormalWeb"/>
      </w:pPr>
      <w:r>
        <w:t xml:space="preserve">Diebold, F. X., &amp; Mariano, R. S. (1995). Comparing predictive accuracy. </w:t>
      </w:r>
      <w:r>
        <w:rPr>
          <w:rStyle w:val="Emphasis"/>
          <w:rFonts w:eastAsiaTheme="majorEastAsia"/>
        </w:rPr>
        <w:t>Journal of Business &amp; Economic Statistics, 13</w:t>
      </w:r>
      <w:r>
        <w:t>(3), 253–263. https://doi.org/10.1080/07350015.1995.10524599</w:t>
      </w:r>
    </w:p>
    <w:p w:rsidR="00E12CB6" w:rsidRDefault="00E12CB6" w:rsidP="00E12CB6">
      <w:pPr>
        <w:pStyle w:val="NormalWeb"/>
      </w:pPr>
      <w:r>
        <w:t xml:space="preserve">Doshi-Velez, F., &amp; Kim, B. (2017). Towards a rigorous science of interpretable machine learning. </w:t>
      </w:r>
      <w:r>
        <w:rPr>
          <w:rStyle w:val="Emphasis"/>
          <w:rFonts w:eastAsiaTheme="majorEastAsia"/>
        </w:rPr>
        <w:t>arXiv preprint arXiv:1702.08608</w:t>
      </w:r>
      <w:r>
        <w:t xml:space="preserve">. </w:t>
      </w:r>
      <w:hyperlink r:id="rId5" w:tgtFrame="_new" w:history="1">
        <w:r>
          <w:rPr>
            <w:rStyle w:val="Hyperlink"/>
            <w:rFonts w:eastAsiaTheme="majorEastAsia"/>
          </w:rPr>
          <w:t>https://arxiv.org/abs/1702.08608</w:t>
        </w:r>
      </w:hyperlink>
    </w:p>
    <w:p w:rsidR="00E12CB6" w:rsidRDefault="00E12CB6" w:rsidP="00E12CB6">
      <w:pPr>
        <w:pStyle w:val="NormalWeb"/>
      </w:pPr>
      <w:r>
        <w:t xml:space="preserve">Dubois, M., &amp; Erb, C. (2000). Seasonal anomalies in foreign exchange markets. </w:t>
      </w:r>
      <w:r>
        <w:rPr>
          <w:rStyle w:val="Emphasis"/>
          <w:rFonts w:eastAsiaTheme="majorEastAsia"/>
        </w:rPr>
        <w:t>Journal of Multinational Financial Management, 10</w:t>
      </w:r>
      <w:r>
        <w:t>(4), 379–388. https://doi.org/10.1016/S1042-444X(00)00027-5</w:t>
      </w:r>
    </w:p>
    <w:p w:rsidR="00E12CB6" w:rsidRDefault="00E12CB6" w:rsidP="00E12CB6">
      <w:pPr>
        <w:pStyle w:val="NormalWeb"/>
      </w:pPr>
      <w:r>
        <w:t xml:space="preserve">Engle, R. F. (1982). Autoregressive conditional heteroskedasticity with estimates of the variance of UK inflation. </w:t>
      </w:r>
      <w:r>
        <w:rPr>
          <w:rStyle w:val="Emphasis"/>
          <w:rFonts w:eastAsiaTheme="majorEastAsia"/>
        </w:rPr>
        <w:t>Econometrica, 50</w:t>
      </w:r>
      <w:r>
        <w:t>(4), 987–1007. https://doi.org/10.2307/1912773</w:t>
      </w:r>
    </w:p>
    <w:p w:rsidR="00E12CB6" w:rsidRDefault="00E12CB6" w:rsidP="00E12CB6">
      <w:pPr>
        <w:pStyle w:val="NormalWeb"/>
      </w:pPr>
      <w:r>
        <w:t xml:space="preserve">Fischer, T., &amp; Krauss, C. (2018). Deep learning with long short-term memory networks for financial market predictions. </w:t>
      </w:r>
      <w:r>
        <w:rPr>
          <w:rStyle w:val="Emphasis"/>
          <w:rFonts w:eastAsiaTheme="majorEastAsia"/>
        </w:rPr>
        <w:t>European Journal of Operational Research, 270</w:t>
      </w:r>
      <w:r>
        <w:t>(2), 654–669. https://doi.org/10.1016/j.ejor.2017.11.054</w:t>
      </w:r>
    </w:p>
    <w:p w:rsidR="00E12CB6" w:rsidRDefault="00E12CB6" w:rsidP="00E12CB6">
      <w:pPr>
        <w:pStyle w:val="NormalWeb"/>
      </w:pPr>
      <w:r>
        <w:t xml:space="preserve">Gelman, A., &amp; Loken, E. (2014). The statistical crisis in science. </w:t>
      </w:r>
      <w:r>
        <w:rPr>
          <w:rStyle w:val="Emphasis"/>
          <w:rFonts w:eastAsiaTheme="majorEastAsia"/>
        </w:rPr>
        <w:t>American Scientist, 102</w:t>
      </w:r>
      <w:r>
        <w:t>(6), 460–465. https://doi.org/10.1511/2014.111.460</w:t>
      </w:r>
    </w:p>
    <w:p w:rsidR="00E12CB6" w:rsidRDefault="00E12CB6" w:rsidP="00E12CB6">
      <w:pPr>
        <w:pStyle w:val="NormalWeb"/>
      </w:pPr>
      <w:r>
        <w:t xml:space="preserve">Goodfellow, I., Bengio, Y., &amp; Courville, A. (2016). </w:t>
      </w:r>
      <w:r>
        <w:rPr>
          <w:rStyle w:val="Emphasis"/>
          <w:rFonts w:eastAsiaTheme="majorEastAsia"/>
        </w:rPr>
        <w:t>Deep learning</w:t>
      </w:r>
      <w:r>
        <w:t>. MIT Press.</w:t>
      </w:r>
    </w:p>
    <w:p w:rsidR="00E12CB6" w:rsidRDefault="00E12CB6" w:rsidP="00E12CB6">
      <w:pPr>
        <w:pStyle w:val="NormalWeb"/>
      </w:pPr>
      <w:r>
        <w:lastRenderedPageBreak/>
        <w:t xml:space="preserve">Guresen, E., Kayakutlu, G., &amp; Daim, T. U. (2011). Using artificial neural network models in stock market index prediction. </w:t>
      </w:r>
      <w:r>
        <w:rPr>
          <w:rStyle w:val="Emphasis"/>
          <w:rFonts w:eastAsiaTheme="majorEastAsia"/>
        </w:rPr>
        <w:t>Expert Systems with Applications, 38</w:t>
      </w:r>
      <w:r>
        <w:t>(8), 10389–10397. https://doi.org/10.1016/j.eswa.2011.02.068</w:t>
      </w:r>
    </w:p>
    <w:p w:rsidR="00E12CB6" w:rsidRDefault="00E12CB6" w:rsidP="00E12CB6">
      <w:pPr>
        <w:pStyle w:val="NormalWeb"/>
      </w:pPr>
      <w:r>
        <w:t xml:space="preserve">Hochreiter, S., &amp; Schmidhuber, J. (1997). Long short-term memory. </w:t>
      </w:r>
      <w:r>
        <w:rPr>
          <w:rStyle w:val="Emphasis"/>
          <w:rFonts w:eastAsiaTheme="majorEastAsia"/>
        </w:rPr>
        <w:t>Neural Computation, 9</w:t>
      </w:r>
      <w:r>
        <w:t>(8), 1735–1780. https://doi.org/10.1162/neco.1997.9.8.1735</w:t>
      </w:r>
    </w:p>
    <w:p w:rsidR="00E12CB6" w:rsidRDefault="00E12CB6" w:rsidP="00E12CB6">
      <w:pPr>
        <w:pStyle w:val="NormalWeb"/>
      </w:pPr>
      <w:r>
        <w:t xml:space="preserve">Hyndman, R. J., &amp; Athanasopoulos, G. (2021). </w:t>
      </w:r>
      <w:r>
        <w:rPr>
          <w:rStyle w:val="Emphasis"/>
          <w:rFonts w:eastAsiaTheme="majorEastAsia"/>
        </w:rPr>
        <w:t>Forecasting: Principles and practice</w:t>
      </w:r>
      <w:r>
        <w:t xml:space="preserve"> (3rd ed.). OTexts. https://otexts.com/fpp3/</w:t>
      </w:r>
    </w:p>
    <w:p w:rsidR="00E12CB6" w:rsidRDefault="00E12CB6" w:rsidP="00E12CB6">
      <w:pPr>
        <w:pStyle w:val="NormalWeb"/>
      </w:pPr>
      <w:r>
        <w:t xml:space="preserve">Hyndman, R. J., &amp; Koehler, A. B. (2006). Another look at measures of forecast accuracy. </w:t>
      </w:r>
      <w:r>
        <w:rPr>
          <w:rStyle w:val="Emphasis"/>
          <w:rFonts w:eastAsiaTheme="majorEastAsia"/>
        </w:rPr>
        <w:t>International Journal of Forecasting, 22</w:t>
      </w:r>
      <w:r>
        <w:t>(4), 679–688. https://doi.org/10.1016/j.ijforecast.2006.03.001</w:t>
      </w:r>
    </w:p>
    <w:p w:rsidR="00E12CB6" w:rsidRDefault="00E12CB6" w:rsidP="00E12CB6">
      <w:pPr>
        <w:pStyle w:val="NormalWeb"/>
      </w:pPr>
      <w:r>
        <w:t xml:space="preserve">Kanzhelevskiy, I. (2023). </w:t>
      </w:r>
      <w:r>
        <w:rPr>
          <w:rStyle w:val="Emphasis"/>
          <w:rFonts w:eastAsiaTheme="majorEastAsia"/>
        </w:rPr>
        <w:t>ta: Technical Analysis Library in Python</w:t>
      </w:r>
      <w:r>
        <w:t xml:space="preserve"> (Version 0.10). PyPI. </w:t>
      </w:r>
      <w:hyperlink r:id="rId6" w:tgtFrame="_new" w:history="1">
        <w:r>
          <w:rPr>
            <w:rStyle w:val="Hyperlink"/>
            <w:rFonts w:eastAsiaTheme="majorEastAsia"/>
          </w:rPr>
          <w:t>https://pypi.org/project/ta/</w:t>
        </w:r>
      </w:hyperlink>
    </w:p>
    <w:p w:rsidR="00E12CB6" w:rsidRDefault="00E12CB6" w:rsidP="00E12CB6">
      <w:pPr>
        <w:pStyle w:val="NormalWeb"/>
      </w:pPr>
      <w:r>
        <w:t xml:space="preserve">Kingma, D. P., &amp; Ba, J. (2015). Adam: A method for stochastic optimization. </w:t>
      </w:r>
      <w:r>
        <w:rPr>
          <w:rStyle w:val="Emphasis"/>
          <w:rFonts w:eastAsiaTheme="majorEastAsia"/>
        </w:rPr>
        <w:t>International Conference on Learning Representations</w:t>
      </w:r>
      <w:r>
        <w:t xml:space="preserve">. </w:t>
      </w:r>
      <w:hyperlink r:id="rId7" w:tgtFrame="_new" w:history="1">
        <w:r>
          <w:rPr>
            <w:rStyle w:val="Hyperlink"/>
            <w:rFonts w:eastAsiaTheme="majorEastAsia"/>
          </w:rPr>
          <w:t>https://arxiv.org/abs/1412.6980</w:t>
        </w:r>
      </w:hyperlink>
    </w:p>
    <w:p w:rsidR="00E12CB6" w:rsidRDefault="00E12CB6" w:rsidP="00E12CB6">
      <w:pPr>
        <w:pStyle w:val="NormalWeb"/>
      </w:pPr>
      <w:r>
        <w:t xml:space="preserve">Lapuschkin, S., Wäldchen, S., Binder, A., Montavon, G., Samek, W., &amp; Müller, K.-R. (2019). Unmasking Clever Hans predictors and assessing what machines really learn. </w:t>
      </w:r>
      <w:r>
        <w:rPr>
          <w:rStyle w:val="Emphasis"/>
          <w:rFonts w:eastAsiaTheme="majorEastAsia"/>
        </w:rPr>
        <w:t>Nature Communications, 10</w:t>
      </w:r>
      <w:r>
        <w:t>, 1096. https://doi.org/10.1038/s41467-019-08987-4</w:t>
      </w:r>
    </w:p>
    <w:p w:rsidR="00E12CB6" w:rsidRDefault="00E12CB6" w:rsidP="00E12CB6">
      <w:pPr>
        <w:pStyle w:val="NormalWeb"/>
      </w:pPr>
      <w:r>
        <w:t xml:space="preserve">Lim, B., Arik, S. Ö., Loeff, N., &amp; Pfister, T. (2021). Temporal fusion transformers for interpretable multi-horizon time series forecasting. </w:t>
      </w:r>
      <w:r>
        <w:rPr>
          <w:rStyle w:val="Emphasis"/>
          <w:rFonts w:eastAsiaTheme="majorEastAsia"/>
        </w:rPr>
        <w:t>International Journal of Forecasting, 37</w:t>
      </w:r>
      <w:r>
        <w:t>(4), 1748–1764. https://doi.org/10.1016/j.ijforecast.2021.03.012</w:t>
      </w:r>
    </w:p>
    <w:p w:rsidR="00E12CB6" w:rsidRDefault="00E12CB6" w:rsidP="00E12CB6">
      <w:pPr>
        <w:pStyle w:val="NormalWeb"/>
      </w:pPr>
      <w:r>
        <w:t xml:space="preserve">Lin, T.-Y., Goyal, P., Girshick, R., He, K., &amp; Dollár, P. (2017). Focal loss for dense object detection. In </w:t>
      </w:r>
      <w:r>
        <w:rPr>
          <w:rStyle w:val="Emphasis"/>
          <w:rFonts w:eastAsiaTheme="majorEastAsia"/>
        </w:rPr>
        <w:t>Proceedings of the IEEE International Conference on Computer Vision</w:t>
      </w:r>
      <w:r>
        <w:t xml:space="preserve"> (pp. 2980–2988). https://doi.org/10.1109/ICCV.2017.324</w:t>
      </w:r>
    </w:p>
    <w:p w:rsidR="00E12CB6" w:rsidRDefault="00E12CB6" w:rsidP="00E12CB6">
      <w:pPr>
        <w:pStyle w:val="NormalWeb"/>
      </w:pPr>
      <w:r>
        <w:t xml:space="preserve">Lundberg, S. M., &amp; Lee, S.-I. (2017). A unified approach to interpreting model predictions. In </w:t>
      </w:r>
      <w:r>
        <w:rPr>
          <w:rStyle w:val="Emphasis"/>
          <w:rFonts w:eastAsiaTheme="majorEastAsia"/>
        </w:rPr>
        <w:t>Advances in Neural Information Processing Systems, 30</w:t>
      </w:r>
      <w:r>
        <w:t>, 4765–4774. https://proceedings.neurips.cc/paper_files/paper/2017/hash/8a20a8621978632d76c43dfd28b67767-Abstract.html</w:t>
      </w:r>
    </w:p>
    <w:p w:rsidR="00E12CB6" w:rsidRDefault="00E12CB6" w:rsidP="00E12CB6">
      <w:pPr>
        <w:pStyle w:val="NormalWeb"/>
      </w:pPr>
      <w:r>
        <w:t xml:space="preserve">Nelson, D. M., Pereira, A. C. M., &amp; de Oliveira, R. A. (2017). Stock market’s price movement prediction with LSTM neural networks. In </w:t>
      </w:r>
      <w:r>
        <w:rPr>
          <w:rStyle w:val="Emphasis"/>
          <w:rFonts w:eastAsiaTheme="majorEastAsia"/>
        </w:rPr>
        <w:t>International Joint Conference on Neural Networks (IJCNN)</w:t>
      </w:r>
      <w:r>
        <w:t>. https://doi.org/10.1109/IJCNN.2017.7966019</w:t>
      </w:r>
    </w:p>
    <w:p w:rsidR="00E12CB6" w:rsidRDefault="00E12CB6" w:rsidP="00E12CB6">
      <w:pPr>
        <w:pStyle w:val="NormalWeb"/>
      </w:pPr>
      <w:r>
        <w:t xml:space="preserve">Rudin, C. (2019). Stop explaining black box machine learning models for high stakes decisions and use interpretable models instead. </w:t>
      </w:r>
      <w:r>
        <w:rPr>
          <w:rStyle w:val="Emphasis"/>
          <w:rFonts w:eastAsiaTheme="majorEastAsia"/>
        </w:rPr>
        <w:t>Nature Machine Intelligence, 1</w:t>
      </w:r>
      <w:r>
        <w:t>(5), 206–215. https://doi.org/10.1038/s42256-019-0048-x</w:t>
      </w:r>
    </w:p>
    <w:p w:rsidR="00E12CB6" w:rsidRDefault="00E12CB6" w:rsidP="00E12CB6">
      <w:pPr>
        <w:pStyle w:val="NormalWeb"/>
      </w:pPr>
      <w:r>
        <w:t xml:space="preserve">Snoek, J., Larochelle, H., &amp; Adams, R. P. (2012). Practical Bayesian optimization of machine learning algorithms. In </w:t>
      </w:r>
      <w:r>
        <w:rPr>
          <w:rStyle w:val="Emphasis"/>
          <w:rFonts w:eastAsiaTheme="majorEastAsia"/>
        </w:rPr>
        <w:t>Advances in Neural Information Processing Systems, 25</w:t>
      </w:r>
      <w:r>
        <w:t>, 2951–2959. https://proceedings.neurips.cc/paper_files/paper/2012/hash/05311655a15b75fab86956663e1819cd-Abstract.html</w:t>
      </w:r>
    </w:p>
    <w:p w:rsidR="00E12CB6" w:rsidRDefault="00E12CB6" w:rsidP="00E12CB6">
      <w:pPr>
        <w:pStyle w:val="NormalWeb"/>
      </w:pPr>
      <w:r>
        <w:lastRenderedPageBreak/>
        <w:t xml:space="preserve">Tsay, R. S. (2010). </w:t>
      </w:r>
      <w:r>
        <w:rPr>
          <w:rStyle w:val="Emphasis"/>
          <w:rFonts w:eastAsiaTheme="majorEastAsia"/>
        </w:rPr>
        <w:t>Analysis of financial time series</w:t>
      </w:r>
      <w:r>
        <w:t xml:space="preserve"> (3rd ed.). Wiley.</w:t>
      </w:r>
    </w:p>
    <w:p w:rsidR="00E12CB6" w:rsidRDefault="00E12CB6" w:rsidP="00E12CB6">
      <w:pPr>
        <w:pStyle w:val="NormalWeb"/>
      </w:pPr>
      <w:r>
        <w:t xml:space="preserve">Tzavaras, S., &amp; Kouretas, G. P. (2015). Predicting direction in foreign exchange markets: High-frequency data and machine learning. </w:t>
      </w:r>
      <w:r>
        <w:rPr>
          <w:rStyle w:val="Emphasis"/>
          <w:rFonts w:eastAsiaTheme="majorEastAsia"/>
        </w:rPr>
        <w:t>Computational Economics, 46</w:t>
      </w:r>
      <w:r>
        <w:t>(3), 395–413. https://doi.org/10.1007/s10614-015-9493-x</w:t>
      </w:r>
    </w:p>
    <w:p w:rsidR="00E12CB6" w:rsidRDefault="00E12CB6" w:rsidP="00E12CB6">
      <w:pPr>
        <w:pStyle w:val="NormalWeb"/>
      </w:pPr>
      <w:r>
        <w:t xml:space="preserve">Vaswani, A., Shazeer, N., Parmar, N., Uszkoreit, J., Jones, L., Gomez, A. N., Kaiser, Ł., &amp; Polosukhin, I. (2017). Attention is all you need. In </w:t>
      </w:r>
      <w:r>
        <w:rPr>
          <w:rStyle w:val="Emphasis"/>
          <w:rFonts w:eastAsiaTheme="majorEastAsia"/>
        </w:rPr>
        <w:t>Advances in Neural Information Processing Systems, 30</w:t>
      </w:r>
      <w:r>
        <w:t>, 5998–6008. https://proceedings.neurips.cc/paper_files/paper/2017/hash/3f5ee243547dee91fbd053c1c4a845aa-Abstract.html</w:t>
      </w:r>
    </w:p>
    <w:p w:rsidR="00E12CB6" w:rsidRDefault="00E12CB6" w:rsidP="00E12CB6">
      <w:pPr>
        <w:pStyle w:val="NormalWeb"/>
      </w:pPr>
      <w:r>
        <w:t xml:space="preserve">Wen, R., Torkkola, K., Madeka, D., &amp; Flunkert, V. (2017). A multi-horizon quantile recurrent forecaster. </w:t>
      </w:r>
      <w:r>
        <w:rPr>
          <w:rStyle w:val="Emphasis"/>
          <w:rFonts w:eastAsiaTheme="majorEastAsia"/>
        </w:rPr>
        <w:t>arXiv preprint arXiv:1711.11053</w:t>
      </w:r>
      <w:r>
        <w:t xml:space="preserve">. </w:t>
      </w:r>
      <w:hyperlink r:id="rId8" w:tgtFrame="_new" w:history="1">
        <w:r>
          <w:rPr>
            <w:rStyle w:val="Hyperlink"/>
            <w:rFonts w:eastAsiaTheme="majorEastAsia"/>
          </w:rPr>
          <w:t>https://arxiv.org/abs/1711.11053</w:t>
        </w:r>
      </w:hyperlink>
    </w:p>
    <w:p w:rsidR="00E12CB6" w:rsidRDefault="00E12CB6" w:rsidP="00E12CB6">
      <w:pPr>
        <w:pStyle w:val="NormalWeb"/>
      </w:pPr>
      <w:r>
        <w:t xml:space="preserve">Yfinance Developers. (2024). </w:t>
      </w:r>
      <w:r>
        <w:rPr>
          <w:rStyle w:val="Emphasis"/>
          <w:rFonts w:eastAsiaTheme="majorEastAsia"/>
        </w:rPr>
        <w:t>yfinance (Version 0.2)</w:t>
      </w:r>
      <w:r>
        <w:t xml:space="preserve"> [Computer software]. </w:t>
      </w:r>
      <w:hyperlink r:id="rId9" w:tgtFrame="_new" w:history="1">
        <w:r>
          <w:rPr>
            <w:rStyle w:val="Hyperlink"/>
            <w:rFonts w:eastAsiaTheme="majorEastAsia"/>
          </w:rPr>
          <w:t>https://github.com/ranaroussi/yfinance</w:t>
        </w:r>
      </w:hyperlink>
    </w:p>
    <w:p w:rsidR="00E12CB6" w:rsidRPr="00E12CB6" w:rsidRDefault="00E12CB6" w:rsidP="00E12CB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sectPr w:rsidR="00E12CB6" w:rsidRPr="00E12C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3596C"/>
    <w:multiLevelType w:val="multilevel"/>
    <w:tmpl w:val="B0203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8E0D6B"/>
    <w:multiLevelType w:val="multilevel"/>
    <w:tmpl w:val="0D78F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8F33A3"/>
    <w:multiLevelType w:val="multilevel"/>
    <w:tmpl w:val="797A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216A54"/>
    <w:multiLevelType w:val="multilevel"/>
    <w:tmpl w:val="C34A6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0A5535"/>
    <w:multiLevelType w:val="multilevel"/>
    <w:tmpl w:val="2870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1E3891"/>
    <w:multiLevelType w:val="multilevel"/>
    <w:tmpl w:val="AB2E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B6473C"/>
    <w:multiLevelType w:val="multilevel"/>
    <w:tmpl w:val="1798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7425B4"/>
    <w:multiLevelType w:val="multilevel"/>
    <w:tmpl w:val="41582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033FBF"/>
    <w:multiLevelType w:val="multilevel"/>
    <w:tmpl w:val="8B3E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3F5E14"/>
    <w:multiLevelType w:val="multilevel"/>
    <w:tmpl w:val="0072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7686390">
    <w:abstractNumId w:val="5"/>
  </w:num>
  <w:num w:numId="2" w16cid:durableId="2031754047">
    <w:abstractNumId w:val="8"/>
  </w:num>
  <w:num w:numId="3" w16cid:durableId="1212763278">
    <w:abstractNumId w:val="0"/>
  </w:num>
  <w:num w:numId="4" w16cid:durableId="423038328">
    <w:abstractNumId w:val="1"/>
  </w:num>
  <w:num w:numId="5" w16cid:durableId="1657108516">
    <w:abstractNumId w:val="7"/>
  </w:num>
  <w:num w:numId="6" w16cid:durableId="623315056">
    <w:abstractNumId w:val="9"/>
  </w:num>
  <w:num w:numId="7" w16cid:durableId="1811898671">
    <w:abstractNumId w:val="6"/>
  </w:num>
  <w:num w:numId="8" w16cid:durableId="375006985">
    <w:abstractNumId w:val="2"/>
  </w:num>
  <w:num w:numId="9" w16cid:durableId="1319765383">
    <w:abstractNumId w:val="3"/>
  </w:num>
  <w:num w:numId="10" w16cid:durableId="3483342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63B"/>
    <w:rsid w:val="007765E0"/>
    <w:rsid w:val="00A910D7"/>
    <w:rsid w:val="00CE263B"/>
    <w:rsid w:val="00D91C22"/>
    <w:rsid w:val="00DB71D7"/>
    <w:rsid w:val="00E12CB6"/>
    <w:rsid w:val="00F039C3"/>
    <w:rsid w:val="00F33C0C"/>
    <w:rsid w:val="00F457AE"/>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E915F"/>
  <w15:chartTrackingRefBased/>
  <w15:docId w15:val="{14C706E1-E1F8-E845-9711-74C4CC2B1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26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26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E26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E26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26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26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6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6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6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6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26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E26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E26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26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26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6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6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63B"/>
    <w:rPr>
      <w:rFonts w:eastAsiaTheme="majorEastAsia" w:cstheme="majorBidi"/>
      <w:color w:val="272727" w:themeColor="text1" w:themeTint="D8"/>
    </w:rPr>
  </w:style>
  <w:style w:type="paragraph" w:styleId="Title">
    <w:name w:val="Title"/>
    <w:basedOn w:val="Normal"/>
    <w:next w:val="Normal"/>
    <w:link w:val="TitleChar"/>
    <w:uiPriority w:val="10"/>
    <w:qFormat/>
    <w:rsid w:val="00CE26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6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6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6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63B"/>
    <w:pPr>
      <w:spacing w:before="160"/>
      <w:jc w:val="center"/>
    </w:pPr>
    <w:rPr>
      <w:i/>
      <w:iCs/>
      <w:color w:val="404040" w:themeColor="text1" w:themeTint="BF"/>
    </w:rPr>
  </w:style>
  <w:style w:type="character" w:customStyle="1" w:styleId="QuoteChar">
    <w:name w:val="Quote Char"/>
    <w:basedOn w:val="DefaultParagraphFont"/>
    <w:link w:val="Quote"/>
    <w:uiPriority w:val="29"/>
    <w:rsid w:val="00CE263B"/>
    <w:rPr>
      <w:i/>
      <w:iCs/>
      <w:color w:val="404040" w:themeColor="text1" w:themeTint="BF"/>
    </w:rPr>
  </w:style>
  <w:style w:type="paragraph" w:styleId="ListParagraph">
    <w:name w:val="List Paragraph"/>
    <w:basedOn w:val="Normal"/>
    <w:uiPriority w:val="34"/>
    <w:qFormat/>
    <w:rsid w:val="00CE263B"/>
    <w:pPr>
      <w:ind w:left="720"/>
      <w:contextualSpacing/>
    </w:pPr>
  </w:style>
  <w:style w:type="character" w:styleId="IntenseEmphasis">
    <w:name w:val="Intense Emphasis"/>
    <w:basedOn w:val="DefaultParagraphFont"/>
    <w:uiPriority w:val="21"/>
    <w:qFormat/>
    <w:rsid w:val="00CE263B"/>
    <w:rPr>
      <w:i/>
      <w:iCs/>
      <w:color w:val="0F4761" w:themeColor="accent1" w:themeShade="BF"/>
    </w:rPr>
  </w:style>
  <w:style w:type="paragraph" w:styleId="IntenseQuote">
    <w:name w:val="Intense Quote"/>
    <w:basedOn w:val="Normal"/>
    <w:next w:val="Normal"/>
    <w:link w:val="IntenseQuoteChar"/>
    <w:uiPriority w:val="30"/>
    <w:qFormat/>
    <w:rsid w:val="00CE26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263B"/>
    <w:rPr>
      <w:i/>
      <w:iCs/>
      <w:color w:val="0F4761" w:themeColor="accent1" w:themeShade="BF"/>
    </w:rPr>
  </w:style>
  <w:style w:type="character" w:styleId="IntenseReference">
    <w:name w:val="Intense Reference"/>
    <w:basedOn w:val="DefaultParagraphFont"/>
    <w:uiPriority w:val="32"/>
    <w:qFormat/>
    <w:rsid w:val="00CE263B"/>
    <w:rPr>
      <w:b/>
      <w:bCs/>
      <w:smallCaps/>
      <w:color w:val="0F4761" w:themeColor="accent1" w:themeShade="BF"/>
      <w:spacing w:val="5"/>
    </w:rPr>
  </w:style>
  <w:style w:type="character" w:styleId="Strong">
    <w:name w:val="Strong"/>
    <w:basedOn w:val="DefaultParagraphFont"/>
    <w:uiPriority w:val="22"/>
    <w:qFormat/>
    <w:rsid w:val="00CE263B"/>
    <w:rPr>
      <w:b/>
      <w:bCs/>
    </w:rPr>
  </w:style>
  <w:style w:type="paragraph" w:styleId="NormalWeb">
    <w:name w:val="Normal (Web)"/>
    <w:basedOn w:val="Normal"/>
    <w:uiPriority w:val="99"/>
    <w:semiHidden/>
    <w:unhideWhenUsed/>
    <w:rsid w:val="00CE263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DB71D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B7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DB71D7"/>
    <w:rPr>
      <w:rFonts w:ascii="Courier New" w:eastAsia="Times New Roman" w:hAnsi="Courier New" w:cs="Courier New"/>
      <w:kern w:val="0"/>
      <w:sz w:val="20"/>
      <w:szCs w:val="20"/>
      <w:lang w:eastAsia="en-GB"/>
      <w14:ligatures w14:val="none"/>
    </w:rPr>
  </w:style>
  <w:style w:type="character" w:customStyle="1" w:styleId="hljs-keyword">
    <w:name w:val="hljs-keyword"/>
    <w:basedOn w:val="DefaultParagraphFont"/>
    <w:rsid w:val="00DB71D7"/>
  </w:style>
  <w:style w:type="character" w:customStyle="1" w:styleId="hljs-string">
    <w:name w:val="hljs-string"/>
    <w:basedOn w:val="DefaultParagraphFont"/>
    <w:rsid w:val="00DB71D7"/>
  </w:style>
  <w:style w:type="character" w:customStyle="1" w:styleId="hljs-number">
    <w:name w:val="hljs-number"/>
    <w:basedOn w:val="DefaultParagraphFont"/>
    <w:rsid w:val="00DB71D7"/>
  </w:style>
  <w:style w:type="character" w:customStyle="1" w:styleId="hljs-literal">
    <w:name w:val="hljs-literal"/>
    <w:basedOn w:val="DefaultParagraphFont"/>
    <w:rsid w:val="00DB71D7"/>
  </w:style>
  <w:style w:type="character" w:customStyle="1" w:styleId="hljs-builtin">
    <w:name w:val="hljs-built_in"/>
    <w:basedOn w:val="DefaultParagraphFont"/>
    <w:rsid w:val="00DB71D7"/>
  </w:style>
  <w:style w:type="character" w:customStyle="1" w:styleId="hljs-comment">
    <w:name w:val="hljs-comment"/>
    <w:basedOn w:val="DefaultParagraphFont"/>
    <w:rsid w:val="00DB71D7"/>
  </w:style>
  <w:style w:type="table" w:styleId="LightGrid-Accent1">
    <w:name w:val="Light Grid Accent 1"/>
    <w:basedOn w:val="TableNormal"/>
    <w:uiPriority w:val="62"/>
    <w:rsid w:val="00F457AE"/>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character" w:styleId="Emphasis">
    <w:name w:val="Emphasis"/>
    <w:basedOn w:val="DefaultParagraphFont"/>
    <w:uiPriority w:val="20"/>
    <w:qFormat/>
    <w:rsid w:val="00E12CB6"/>
    <w:rPr>
      <w:i/>
      <w:iCs/>
    </w:rPr>
  </w:style>
  <w:style w:type="character" w:styleId="Hyperlink">
    <w:name w:val="Hyperlink"/>
    <w:basedOn w:val="DefaultParagraphFont"/>
    <w:uiPriority w:val="99"/>
    <w:semiHidden/>
    <w:unhideWhenUsed/>
    <w:rsid w:val="00E12CB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9309754">
      <w:bodyDiv w:val="1"/>
      <w:marLeft w:val="0"/>
      <w:marRight w:val="0"/>
      <w:marTop w:val="0"/>
      <w:marBottom w:val="0"/>
      <w:divBdr>
        <w:top w:val="none" w:sz="0" w:space="0" w:color="auto"/>
        <w:left w:val="none" w:sz="0" w:space="0" w:color="auto"/>
        <w:bottom w:val="none" w:sz="0" w:space="0" w:color="auto"/>
        <w:right w:val="none" w:sz="0" w:space="0" w:color="auto"/>
      </w:divBdr>
    </w:div>
    <w:div w:id="846214131">
      <w:bodyDiv w:val="1"/>
      <w:marLeft w:val="0"/>
      <w:marRight w:val="0"/>
      <w:marTop w:val="0"/>
      <w:marBottom w:val="0"/>
      <w:divBdr>
        <w:top w:val="none" w:sz="0" w:space="0" w:color="auto"/>
        <w:left w:val="none" w:sz="0" w:space="0" w:color="auto"/>
        <w:bottom w:val="none" w:sz="0" w:space="0" w:color="auto"/>
        <w:right w:val="none" w:sz="0" w:space="0" w:color="auto"/>
      </w:divBdr>
      <w:divsChild>
        <w:div w:id="27605961">
          <w:marLeft w:val="0"/>
          <w:marRight w:val="0"/>
          <w:marTop w:val="0"/>
          <w:marBottom w:val="0"/>
          <w:divBdr>
            <w:top w:val="none" w:sz="0" w:space="0" w:color="auto"/>
            <w:left w:val="none" w:sz="0" w:space="0" w:color="auto"/>
            <w:bottom w:val="none" w:sz="0" w:space="0" w:color="auto"/>
            <w:right w:val="none" w:sz="0" w:space="0" w:color="auto"/>
          </w:divBdr>
          <w:divsChild>
            <w:div w:id="174398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251055">
      <w:bodyDiv w:val="1"/>
      <w:marLeft w:val="0"/>
      <w:marRight w:val="0"/>
      <w:marTop w:val="0"/>
      <w:marBottom w:val="0"/>
      <w:divBdr>
        <w:top w:val="none" w:sz="0" w:space="0" w:color="auto"/>
        <w:left w:val="none" w:sz="0" w:space="0" w:color="auto"/>
        <w:bottom w:val="none" w:sz="0" w:space="0" w:color="auto"/>
        <w:right w:val="none" w:sz="0" w:space="0" w:color="auto"/>
      </w:divBdr>
    </w:div>
    <w:div w:id="935870087">
      <w:bodyDiv w:val="1"/>
      <w:marLeft w:val="0"/>
      <w:marRight w:val="0"/>
      <w:marTop w:val="0"/>
      <w:marBottom w:val="0"/>
      <w:divBdr>
        <w:top w:val="none" w:sz="0" w:space="0" w:color="auto"/>
        <w:left w:val="none" w:sz="0" w:space="0" w:color="auto"/>
        <w:bottom w:val="none" w:sz="0" w:space="0" w:color="auto"/>
        <w:right w:val="none" w:sz="0" w:space="0" w:color="auto"/>
      </w:divBdr>
    </w:div>
    <w:div w:id="1011951099">
      <w:bodyDiv w:val="1"/>
      <w:marLeft w:val="0"/>
      <w:marRight w:val="0"/>
      <w:marTop w:val="0"/>
      <w:marBottom w:val="0"/>
      <w:divBdr>
        <w:top w:val="none" w:sz="0" w:space="0" w:color="auto"/>
        <w:left w:val="none" w:sz="0" w:space="0" w:color="auto"/>
        <w:bottom w:val="none" w:sz="0" w:space="0" w:color="auto"/>
        <w:right w:val="none" w:sz="0" w:space="0" w:color="auto"/>
      </w:divBdr>
      <w:divsChild>
        <w:div w:id="1378896630">
          <w:marLeft w:val="0"/>
          <w:marRight w:val="0"/>
          <w:marTop w:val="0"/>
          <w:marBottom w:val="0"/>
          <w:divBdr>
            <w:top w:val="none" w:sz="0" w:space="0" w:color="auto"/>
            <w:left w:val="none" w:sz="0" w:space="0" w:color="auto"/>
            <w:bottom w:val="none" w:sz="0" w:space="0" w:color="auto"/>
            <w:right w:val="none" w:sz="0" w:space="0" w:color="auto"/>
          </w:divBdr>
          <w:divsChild>
            <w:div w:id="358513511">
              <w:marLeft w:val="0"/>
              <w:marRight w:val="0"/>
              <w:marTop w:val="0"/>
              <w:marBottom w:val="0"/>
              <w:divBdr>
                <w:top w:val="none" w:sz="0" w:space="0" w:color="auto"/>
                <w:left w:val="none" w:sz="0" w:space="0" w:color="auto"/>
                <w:bottom w:val="none" w:sz="0" w:space="0" w:color="auto"/>
                <w:right w:val="none" w:sz="0" w:space="0" w:color="auto"/>
              </w:divBdr>
            </w:div>
            <w:div w:id="1854954034">
              <w:marLeft w:val="0"/>
              <w:marRight w:val="0"/>
              <w:marTop w:val="0"/>
              <w:marBottom w:val="0"/>
              <w:divBdr>
                <w:top w:val="none" w:sz="0" w:space="0" w:color="auto"/>
                <w:left w:val="none" w:sz="0" w:space="0" w:color="auto"/>
                <w:bottom w:val="none" w:sz="0" w:space="0" w:color="auto"/>
                <w:right w:val="none" w:sz="0" w:space="0" w:color="auto"/>
              </w:divBdr>
              <w:divsChild>
                <w:div w:id="432676675">
                  <w:marLeft w:val="0"/>
                  <w:marRight w:val="0"/>
                  <w:marTop w:val="0"/>
                  <w:marBottom w:val="0"/>
                  <w:divBdr>
                    <w:top w:val="none" w:sz="0" w:space="0" w:color="auto"/>
                    <w:left w:val="none" w:sz="0" w:space="0" w:color="auto"/>
                    <w:bottom w:val="none" w:sz="0" w:space="0" w:color="auto"/>
                    <w:right w:val="none" w:sz="0" w:space="0" w:color="auto"/>
                  </w:divBdr>
                  <w:divsChild>
                    <w:div w:id="122979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655396">
              <w:marLeft w:val="0"/>
              <w:marRight w:val="0"/>
              <w:marTop w:val="0"/>
              <w:marBottom w:val="0"/>
              <w:divBdr>
                <w:top w:val="none" w:sz="0" w:space="0" w:color="auto"/>
                <w:left w:val="none" w:sz="0" w:space="0" w:color="auto"/>
                <w:bottom w:val="none" w:sz="0" w:space="0" w:color="auto"/>
                <w:right w:val="none" w:sz="0" w:space="0" w:color="auto"/>
              </w:divBdr>
            </w:div>
          </w:divsChild>
        </w:div>
        <w:div w:id="592667471">
          <w:marLeft w:val="0"/>
          <w:marRight w:val="0"/>
          <w:marTop w:val="0"/>
          <w:marBottom w:val="0"/>
          <w:divBdr>
            <w:top w:val="none" w:sz="0" w:space="0" w:color="auto"/>
            <w:left w:val="none" w:sz="0" w:space="0" w:color="auto"/>
            <w:bottom w:val="none" w:sz="0" w:space="0" w:color="auto"/>
            <w:right w:val="none" w:sz="0" w:space="0" w:color="auto"/>
          </w:divBdr>
          <w:divsChild>
            <w:div w:id="1928613337">
              <w:marLeft w:val="0"/>
              <w:marRight w:val="0"/>
              <w:marTop w:val="0"/>
              <w:marBottom w:val="0"/>
              <w:divBdr>
                <w:top w:val="none" w:sz="0" w:space="0" w:color="auto"/>
                <w:left w:val="none" w:sz="0" w:space="0" w:color="auto"/>
                <w:bottom w:val="none" w:sz="0" w:space="0" w:color="auto"/>
                <w:right w:val="none" w:sz="0" w:space="0" w:color="auto"/>
              </w:divBdr>
            </w:div>
            <w:div w:id="491219502">
              <w:marLeft w:val="0"/>
              <w:marRight w:val="0"/>
              <w:marTop w:val="0"/>
              <w:marBottom w:val="0"/>
              <w:divBdr>
                <w:top w:val="none" w:sz="0" w:space="0" w:color="auto"/>
                <w:left w:val="none" w:sz="0" w:space="0" w:color="auto"/>
                <w:bottom w:val="none" w:sz="0" w:space="0" w:color="auto"/>
                <w:right w:val="none" w:sz="0" w:space="0" w:color="auto"/>
              </w:divBdr>
              <w:divsChild>
                <w:div w:id="195822363">
                  <w:marLeft w:val="0"/>
                  <w:marRight w:val="0"/>
                  <w:marTop w:val="0"/>
                  <w:marBottom w:val="0"/>
                  <w:divBdr>
                    <w:top w:val="none" w:sz="0" w:space="0" w:color="auto"/>
                    <w:left w:val="none" w:sz="0" w:space="0" w:color="auto"/>
                    <w:bottom w:val="none" w:sz="0" w:space="0" w:color="auto"/>
                    <w:right w:val="none" w:sz="0" w:space="0" w:color="auto"/>
                  </w:divBdr>
                  <w:divsChild>
                    <w:div w:id="21778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435955">
              <w:marLeft w:val="0"/>
              <w:marRight w:val="0"/>
              <w:marTop w:val="0"/>
              <w:marBottom w:val="0"/>
              <w:divBdr>
                <w:top w:val="none" w:sz="0" w:space="0" w:color="auto"/>
                <w:left w:val="none" w:sz="0" w:space="0" w:color="auto"/>
                <w:bottom w:val="none" w:sz="0" w:space="0" w:color="auto"/>
                <w:right w:val="none" w:sz="0" w:space="0" w:color="auto"/>
              </w:divBdr>
            </w:div>
          </w:divsChild>
        </w:div>
        <w:div w:id="293567032">
          <w:marLeft w:val="0"/>
          <w:marRight w:val="0"/>
          <w:marTop w:val="0"/>
          <w:marBottom w:val="0"/>
          <w:divBdr>
            <w:top w:val="none" w:sz="0" w:space="0" w:color="auto"/>
            <w:left w:val="none" w:sz="0" w:space="0" w:color="auto"/>
            <w:bottom w:val="none" w:sz="0" w:space="0" w:color="auto"/>
            <w:right w:val="none" w:sz="0" w:space="0" w:color="auto"/>
          </w:divBdr>
          <w:divsChild>
            <w:div w:id="1610239142">
              <w:marLeft w:val="0"/>
              <w:marRight w:val="0"/>
              <w:marTop w:val="0"/>
              <w:marBottom w:val="0"/>
              <w:divBdr>
                <w:top w:val="none" w:sz="0" w:space="0" w:color="auto"/>
                <w:left w:val="none" w:sz="0" w:space="0" w:color="auto"/>
                <w:bottom w:val="none" w:sz="0" w:space="0" w:color="auto"/>
                <w:right w:val="none" w:sz="0" w:space="0" w:color="auto"/>
              </w:divBdr>
            </w:div>
            <w:div w:id="1314600222">
              <w:marLeft w:val="0"/>
              <w:marRight w:val="0"/>
              <w:marTop w:val="0"/>
              <w:marBottom w:val="0"/>
              <w:divBdr>
                <w:top w:val="none" w:sz="0" w:space="0" w:color="auto"/>
                <w:left w:val="none" w:sz="0" w:space="0" w:color="auto"/>
                <w:bottom w:val="none" w:sz="0" w:space="0" w:color="auto"/>
                <w:right w:val="none" w:sz="0" w:space="0" w:color="auto"/>
              </w:divBdr>
              <w:divsChild>
                <w:div w:id="1791438963">
                  <w:marLeft w:val="0"/>
                  <w:marRight w:val="0"/>
                  <w:marTop w:val="0"/>
                  <w:marBottom w:val="0"/>
                  <w:divBdr>
                    <w:top w:val="none" w:sz="0" w:space="0" w:color="auto"/>
                    <w:left w:val="none" w:sz="0" w:space="0" w:color="auto"/>
                    <w:bottom w:val="none" w:sz="0" w:space="0" w:color="auto"/>
                    <w:right w:val="none" w:sz="0" w:space="0" w:color="auto"/>
                  </w:divBdr>
                  <w:divsChild>
                    <w:div w:id="38961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7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1711.11053" TargetMode="External"/><Relationship Id="rId3" Type="http://schemas.openxmlformats.org/officeDocument/2006/relationships/settings" Target="settings.xml"/><Relationship Id="rId7" Type="http://schemas.openxmlformats.org/officeDocument/2006/relationships/hyperlink" Target="https://arxiv.org/abs/1412.698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ypi.org/project/ta/" TargetMode="External"/><Relationship Id="rId11" Type="http://schemas.openxmlformats.org/officeDocument/2006/relationships/theme" Target="theme/theme1.xml"/><Relationship Id="rId5" Type="http://schemas.openxmlformats.org/officeDocument/2006/relationships/hyperlink" Target="https://arxiv.org/abs/1702.08608"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ranaroussi/yfina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12</Pages>
  <Words>3609</Words>
  <Characters>20577</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ringtho</dc:creator>
  <cp:keywords/>
  <dc:description/>
  <cp:lastModifiedBy>smith ringtho</cp:lastModifiedBy>
  <cp:revision>1</cp:revision>
  <dcterms:created xsi:type="dcterms:W3CDTF">2025-06-28T07:49:00Z</dcterms:created>
  <dcterms:modified xsi:type="dcterms:W3CDTF">2025-06-28T09:02:00Z</dcterms:modified>
</cp:coreProperties>
</file>