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ems9kcu0pu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PlantVillage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color w:val="3c4043"/>
          <w:highlight w:val="white"/>
          <w:rtl w:val="0"/>
        </w:rPr>
        <w:t xml:space="preserve">The widespread distribution of smartphones among crop growers around the world with an expected 5 billion smartphones by 2020 offers the potential of turning the smartphone into a valuable tool for diverse communities growing food. One potential application is the development of mobile disease diagnostics through machine learning and crowdsourcing.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0"/>
        </w:rPr>
        <w:t xml:space="preserve">163,000+</w:t>
      </w:r>
      <w:r w:rsidDel="00000000" w:rsidR="00000000" w:rsidRPr="00000000">
        <w:rPr>
          <w:rtl w:val="0"/>
        </w:rPr>
        <w:t xml:space="preserve"> images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 14 plant species.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classes:</w:t>
      </w:r>
      <w:r w:rsidDel="00000000" w:rsidR="00000000" w:rsidRPr="00000000">
        <w:rPr>
          <w:rtl w:val="0"/>
        </w:rPr>
        <w:t xml:space="preserve"> 38 (plant species × disease combinations) in the original version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  RGB images of plant leaves captured under controlled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Lab-like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This dataset may require augmentation for better generalization to wild conditions and is intended for leaf disease classification tasks only.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60109" cy="126010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109" cy="1260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81113" cy="12811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128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71588" cy="12715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71588" cy="12715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