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第6册：第5章 用例族（第二部分）—— 5.5至5.7节</w:t>
        <w:br/>
        <w:t>3GPP TR 22.870 V2.0.0 – 6G用例及业务需求研究</w:t>
      </w:r>
    </w:p>
    <w:p/>
    <w:p>
      <w:pPr>
        <w:pStyle w:val="Heading3"/>
      </w:pPr>
      <w:r>
        <w:t>5.5 通信感知一体化用例</w:t>
      </w:r>
    </w:p>
    <w:p>
      <w:pPr>
        <w:pStyle w:val="Heading4"/>
      </w:pPr>
      <w:r>
        <w:t>5.5.1 描述</w:t>
      </w:r>
    </w:p>
    <w:p>
      <w:r>
        <w:rPr>
          <w:b w:val="0"/>
          <w:i w:val="0"/>
        </w:rPr>
        <w:t>通信感知一体化（ISAC）是6G的标志性能力之一。6G网络将不仅传输数据，还能利用无线信号"感知"周围环境，在同一基础设施上同时实现通信和感知（如雷达探测、精确定位、环境监测等）功能。</w:t>
      </w:r>
    </w:p>
    <w:p>
      <w:pPr>
        <w:pStyle w:val="Heading4"/>
      </w:pPr>
      <w:r>
        <w:t>5.5.2 示例场景</w:t>
      </w:r>
    </w:p>
    <w:p>
      <w:pPr>
        <w:pStyle w:val="ListBullet"/>
      </w:pPr>
      <w:r>
        <w:rPr>
          <w:b/>
          <w:i w:val="0"/>
        </w:rPr>
        <w:t>自动驾驶环境感知：</w:t>
      </w:r>
      <w:r>
        <w:rPr>
          <w:b w:val="0"/>
          <w:i w:val="0"/>
        </w:rPr>
        <w:t xml:space="preserve"> 6G网络辅助自动驾驶车辆进行周围环境的实时三维感知和障碍物检测，弥补车载传感器的盲区。</w:t>
      </w:r>
    </w:p>
    <w:p>
      <w:pPr>
        <w:pStyle w:val="ListBullet"/>
      </w:pPr>
      <w:r>
        <w:rPr>
          <w:b/>
          <w:i w:val="0"/>
        </w:rPr>
        <w:t>智慧城市环境监测：</w:t>
      </w:r>
      <w:r>
        <w:rPr>
          <w:b w:val="0"/>
          <w:i w:val="0"/>
        </w:rPr>
        <w:t xml:space="preserve"> 利用6G基站的感知能力，实时监测城市交通流量、空气质量、人群密度等环境参数。</w:t>
      </w:r>
    </w:p>
    <w:p>
      <w:pPr>
        <w:pStyle w:val="ListBullet"/>
      </w:pPr>
      <w:r>
        <w:rPr>
          <w:b/>
          <w:i w:val="0"/>
        </w:rPr>
        <w:t>室内精准定位：</w:t>
      </w:r>
      <w:r>
        <w:rPr>
          <w:b w:val="0"/>
          <w:i w:val="0"/>
        </w:rPr>
        <w:t xml:space="preserve"> 利用ISAC技术实现厘米级甚至毫米级的室内定位精度，支持仓储物流和智能制造场景。</w:t>
      </w:r>
    </w:p>
    <w:p>
      <w:pPr>
        <w:pStyle w:val="ListBullet"/>
      </w:pPr>
      <w:r>
        <w:rPr>
          <w:b/>
          <w:i w:val="0"/>
        </w:rPr>
        <w:t>搜索与救援：</w:t>
      </w:r>
      <w:r>
        <w:rPr>
          <w:b w:val="0"/>
          <w:i w:val="0"/>
        </w:rPr>
        <w:t xml:space="preserve"> 在灾害发生后，利用6G网络的感知能力快速定位被困人员，辅助救援决策。</w:t>
      </w:r>
    </w:p>
    <w:p>
      <w:pPr>
        <w:pStyle w:val="ListBullet"/>
      </w:pPr>
      <w:r>
        <w:rPr>
          <w:b/>
          <w:i w:val="0"/>
        </w:rPr>
        <w:t>手势识别与交互：</w:t>
      </w:r>
      <w:r>
        <w:rPr>
          <w:b w:val="0"/>
          <w:i w:val="0"/>
        </w:rPr>
        <w:t xml:space="preserve"> 利用网络感知能力识别用户的手势和动作，实现非接触式人机交互。</w:t>
      </w:r>
    </w:p>
    <w:p>
      <w:pPr>
        <w:pStyle w:val="Heading4"/>
      </w:pPr>
      <w:r>
        <w:t>5.5.3 前提条件</w:t>
      </w:r>
    </w:p>
    <w:p>
      <w:pPr>
        <w:pStyle w:val="ListBullet"/>
      </w:pPr>
      <w:r>
        <w:rPr>
          <w:b w:val="0"/>
          <w:i w:val="0"/>
        </w:rPr>
        <w:t>6G基站具备发射和接收感知信号的硬件能力；</w:t>
      </w:r>
    </w:p>
    <w:p>
      <w:pPr>
        <w:pStyle w:val="ListBullet"/>
      </w:pPr>
      <w:r>
        <w:rPr>
          <w:b w:val="0"/>
          <w:i w:val="0"/>
        </w:rPr>
        <w:t>频谱资源支持通信与感知功能的灵活共享；</w:t>
      </w:r>
    </w:p>
    <w:p>
      <w:pPr>
        <w:pStyle w:val="ListBullet"/>
      </w:pPr>
      <w:r>
        <w:rPr>
          <w:b w:val="0"/>
          <w:i w:val="0"/>
        </w:rPr>
        <w:t>具备高精度信号处理和环境建模算法。</w:t>
      </w:r>
    </w:p>
    <w:p>
      <w:pPr>
        <w:pStyle w:val="Heading4"/>
      </w:pPr>
      <w:r>
        <w:t>5.5.4 业务需求</w:t>
      </w:r>
    </w:p>
    <w:p>
      <w:pPr>
        <w:pStyle w:val="ListBullet"/>
      </w:pPr>
      <w:r>
        <w:rPr>
          <w:b w:val="0"/>
          <w:i w:val="0"/>
        </w:rPr>
        <w:t>感知分辨率：厘米级距离分辨率，度级角度分辨率；</w:t>
      </w:r>
    </w:p>
    <w:p>
      <w:pPr>
        <w:pStyle w:val="ListBullet"/>
      </w:pPr>
      <w:r>
        <w:rPr>
          <w:b w:val="0"/>
          <w:i w:val="0"/>
        </w:rPr>
        <w:t>感知范围：数十米至数百米；</w:t>
      </w:r>
    </w:p>
    <w:p>
      <w:pPr>
        <w:pStyle w:val="ListBullet"/>
      </w:pPr>
      <w:r>
        <w:rPr>
          <w:b w:val="0"/>
          <w:i w:val="0"/>
        </w:rPr>
        <w:t>感知与通信功能不互相干扰，资源利用高效。</w:t>
      </w:r>
    </w:p>
    <w:p>
      <w:pPr>
        <w:pStyle w:val="Heading3"/>
      </w:pPr>
      <w:r>
        <w:t>5.6 全息与沉浸式通信用例</w:t>
      </w:r>
    </w:p>
    <w:p>
      <w:pPr>
        <w:pStyle w:val="Heading4"/>
      </w:pPr>
      <w:r>
        <w:t>5.6.1 描述</w:t>
      </w:r>
    </w:p>
    <w:p>
      <w:r>
        <w:rPr>
          <w:b w:val="0"/>
          <w:i w:val="0"/>
        </w:rPr>
        <w:t>全息通信代表了远程通信的终极形态，用户的三维影像将以真人大小在对端实时呈现，实现面对面般的交流体验。这类用例对网络带宽、时延和计算能力提出了极端要求。</w:t>
      </w:r>
    </w:p>
    <w:p>
      <w:pPr>
        <w:pStyle w:val="Heading4"/>
      </w:pPr>
      <w:r>
        <w:t>5.6.2 示例场景</w:t>
      </w:r>
    </w:p>
    <w:p>
      <w:pPr>
        <w:pStyle w:val="ListBullet"/>
      </w:pPr>
      <w:r>
        <w:rPr>
          <w:b/>
          <w:i w:val="0"/>
        </w:rPr>
        <w:t>全息视频通话：</w:t>
      </w:r>
      <w:r>
        <w:rPr>
          <w:b w:val="0"/>
          <w:i w:val="0"/>
        </w:rPr>
        <w:t xml:space="preserve"> 用户通过全息显示设备与对方进行真人大小的三维视频通话，支持自由视角查看。</w:t>
      </w:r>
    </w:p>
    <w:p>
      <w:pPr>
        <w:pStyle w:val="ListBullet"/>
      </w:pPr>
      <w:r>
        <w:rPr>
          <w:b/>
          <w:i w:val="0"/>
        </w:rPr>
        <w:t>全息远程会议：</w:t>
      </w:r>
      <w:r>
        <w:rPr>
          <w:b w:val="0"/>
          <w:i w:val="0"/>
        </w:rPr>
        <w:t xml:space="preserve"> 分布在全球的与会者以全息影像出现在同一虚拟会议室中，实现自然的眼神交流和空间感知。</w:t>
      </w:r>
    </w:p>
    <w:p>
      <w:pPr>
        <w:pStyle w:val="ListBullet"/>
      </w:pPr>
      <w:r>
        <w:rPr>
          <w:b/>
          <w:i w:val="0"/>
        </w:rPr>
        <w:t>全息远程协助：</w:t>
      </w:r>
      <w:r>
        <w:rPr>
          <w:b w:val="0"/>
          <w:i w:val="0"/>
        </w:rPr>
        <w:t xml:space="preserve"> 专家以全息影像形式远程出现在现场，指导一线人员完成复杂操作。</w:t>
      </w:r>
    </w:p>
    <w:p>
      <w:pPr>
        <w:pStyle w:val="ListBullet"/>
      </w:pPr>
      <w:r>
        <w:rPr>
          <w:b/>
          <w:i w:val="0"/>
        </w:rPr>
        <w:t>全息演出和展览：</w:t>
      </w:r>
      <w:r>
        <w:rPr>
          <w:b w:val="0"/>
          <w:i w:val="0"/>
        </w:rPr>
        <w:t xml:space="preserve"> 艺术家或展品以全息形式呈现给全球观众，突破物理空间限制。</w:t>
      </w:r>
    </w:p>
    <w:p>
      <w:pPr>
        <w:pStyle w:val="Heading4"/>
      </w:pPr>
      <w:r>
        <w:t>5.6.3 前提条件</w:t>
      </w:r>
    </w:p>
    <w:p>
      <w:pPr>
        <w:pStyle w:val="ListBullet"/>
      </w:pPr>
      <w:r>
        <w:rPr>
          <w:b w:val="0"/>
          <w:i w:val="0"/>
        </w:rPr>
        <w:t>终端设备具备光场或体积数据的捕获和渲染能力；</w:t>
      </w:r>
    </w:p>
    <w:p>
      <w:pPr>
        <w:pStyle w:val="ListBullet"/>
      </w:pPr>
      <w:r>
        <w:rPr>
          <w:b w:val="0"/>
          <w:i w:val="0"/>
        </w:rPr>
        <w:t>网络支持超高带宽（Tbps级）和超低时延（&lt;1ms）传输；</w:t>
      </w:r>
    </w:p>
    <w:p>
      <w:pPr>
        <w:pStyle w:val="ListBullet"/>
      </w:pPr>
      <w:r>
        <w:rPr>
          <w:b w:val="0"/>
          <w:i w:val="0"/>
        </w:rPr>
        <w:t>具备充足的边缘计算资源用于实时三维数据处理。</w:t>
      </w:r>
    </w:p>
    <w:p>
      <w:pPr>
        <w:pStyle w:val="Heading4"/>
      </w:pPr>
      <w:r>
        <w:t>5.6.4 业务流程</w:t>
      </w:r>
    </w:p>
    <w:p>
      <w:pPr>
        <w:pStyle w:val="ListNumber"/>
      </w:pPr>
      <w:r>
        <w:rPr>
          <w:b w:val="0"/>
          <w:i w:val="0"/>
        </w:rPr>
        <w:t>设备和网络建立安全的高带宽低时延会话；</w:t>
      </w:r>
    </w:p>
    <w:p>
      <w:pPr>
        <w:pStyle w:val="ListNumber"/>
      </w:pPr>
      <w:r>
        <w:rPr>
          <w:b w:val="0"/>
          <w:i w:val="0"/>
        </w:rPr>
        <w:t>传感器（深度相机、LiDAR等）持续采集三维和感知数据；</w:t>
      </w:r>
    </w:p>
    <w:p>
      <w:pPr>
        <w:pStyle w:val="ListNumber"/>
      </w:pPr>
      <w:r>
        <w:rPr>
          <w:b w:val="0"/>
          <w:i w:val="0"/>
        </w:rPr>
        <w:t>数据经压缩和预处理以最小化带宽需求；</w:t>
      </w:r>
    </w:p>
    <w:p>
      <w:pPr>
        <w:pStyle w:val="ListNumber"/>
      </w:pPr>
      <w:r>
        <w:rPr>
          <w:b w:val="0"/>
          <w:i w:val="0"/>
        </w:rPr>
        <w:t>全息和感知数据通过网络传输；</w:t>
      </w:r>
    </w:p>
    <w:p>
      <w:pPr>
        <w:pStyle w:val="ListNumber"/>
      </w:pPr>
      <w:r>
        <w:rPr>
          <w:b w:val="0"/>
          <w:i w:val="0"/>
        </w:rPr>
        <w:t>接收端实时渲染全息场景；</w:t>
      </w:r>
    </w:p>
    <w:p>
      <w:pPr>
        <w:pStyle w:val="ListNumber"/>
      </w:pPr>
      <w:r>
        <w:rPr>
          <w:b w:val="0"/>
          <w:i w:val="0"/>
        </w:rPr>
        <w:t>用户交互（手势、注视、环境变化等）实时采集、传输并同步更新。</w:t>
      </w:r>
    </w:p>
    <w:p>
      <w:pPr>
        <w:pStyle w:val="Heading3"/>
      </w:pPr>
      <w:r>
        <w:t>5.7 工业自动化与先进物联网用例</w:t>
      </w:r>
    </w:p>
    <w:p>
      <w:pPr>
        <w:pStyle w:val="Heading4"/>
      </w:pPr>
      <w:r>
        <w:t>5.7.1 描述</w:t>
      </w:r>
    </w:p>
    <w:p>
      <w:r>
        <w:rPr>
          <w:b w:val="0"/>
          <w:i w:val="0"/>
        </w:rPr>
        <w:t>6G将为工业4.0及更高阶段的工业自动化提供革命性的通信基础设施支持，包括大规模低时延设备连接、精确定位和感知、以及AI驱动的智能控制。</w:t>
      </w:r>
    </w:p>
    <w:p>
      <w:pPr>
        <w:pStyle w:val="Heading4"/>
      </w:pPr>
      <w:r>
        <w:t>5.7.2 示例场景</w:t>
      </w:r>
    </w:p>
    <w:p>
      <w:pPr>
        <w:pStyle w:val="ListBullet"/>
      </w:pPr>
      <w:r>
        <w:rPr>
          <w:b/>
          <w:i w:val="0"/>
        </w:rPr>
        <w:t>柔性制造：</w:t>
      </w:r>
      <w:r>
        <w:rPr>
          <w:b w:val="0"/>
          <w:i w:val="0"/>
        </w:rPr>
        <w:t xml:space="preserve"> 智能工厂中的生产线可根据订单需求动态重组，所有设备通过6G网络实时协同。</w:t>
      </w:r>
    </w:p>
    <w:p>
      <w:pPr>
        <w:pStyle w:val="ListBullet"/>
      </w:pPr>
      <w:r>
        <w:rPr>
          <w:b/>
          <w:i w:val="0"/>
        </w:rPr>
        <w:t>协作机器人（Cobot）：</w:t>
      </w:r>
      <w:r>
        <w:rPr>
          <w:b w:val="0"/>
          <w:i w:val="0"/>
        </w:rPr>
        <w:t xml:space="preserve"> 人类工人与机器人在同一空间内安全协作，6G网络保证毫秒级的实时通信和碰撞预防。</w:t>
      </w:r>
    </w:p>
    <w:p>
      <w:pPr>
        <w:pStyle w:val="ListBullet"/>
      </w:pPr>
      <w:r>
        <w:rPr>
          <w:b/>
          <w:i w:val="0"/>
        </w:rPr>
        <w:t>大规模传感器网络：</w:t>
      </w:r>
      <w:r>
        <w:rPr>
          <w:b w:val="0"/>
          <w:i w:val="0"/>
        </w:rPr>
        <w:t xml:space="preserve"> 工厂中部署数百万个传感器，通过6G网络实现全面的环境和设备状态监测。</w:t>
      </w:r>
    </w:p>
    <w:p>
      <w:pPr>
        <w:pStyle w:val="ListBullet"/>
      </w:pPr>
      <w:r>
        <w:rPr>
          <w:b/>
          <w:i w:val="0"/>
        </w:rPr>
        <w:t>预测性维护与数字孪生：</w:t>
      </w:r>
      <w:r>
        <w:rPr>
          <w:b w:val="0"/>
          <w:i w:val="0"/>
        </w:rPr>
        <w:t xml:space="preserve"> 利用6G网络收集设备运行数据，构建数字孪生模型，实现预测性维护。</w:t>
      </w:r>
    </w:p>
    <w:p>
      <w:pPr>
        <w:pStyle w:val="Heading4"/>
      </w:pPr>
      <w:r>
        <w:t>5.7.3 业务需求</w:t>
      </w:r>
    </w:p>
    <w:p>
      <w:pPr>
        <w:pStyle w:val="ListBullet"/>
      </w:pPr>
      <w:r>
        <w:rPr>
          <w:b w:val="0"/>
          <w:i w:val="0"/>
        </w:rPr>
        <w:t>支持百万级连接密度（1000万设备/km²）；</w:t>
      </w:r>
    </w:p>
    <w:p>
      <w:pPr>
        <w:pStyle w:val="ListBullet"/>
      </w:pPr>
      <w:r>
        <w:rPr>
          <w:b w:val="0"/>
          <w:i w:val="0"/>
        </w:rPr>
        <w:t>确定性时延和抖动保证（微秒级）；</w:t>
      </w:r>
    </w:p>
    <w:p>
      <w:pPr>
        <w:pStyle w:val="ListBullet"/>
      </w:pPr>
      <w:r>
        <w:rPr>
          <w:b w:val="0"/>
          <w:i w:val="0"/>
        </w:rPr>
        <w:t>高可靠性（99.99999%）；</w:t>
      </w:r>
    </w:p>
    <w:p>
      <w:pPr>
        <w:pStyle w:val="ListBullet"/>
      </w:pPr>
      <w:r>
        <w:rPr>
          <w:b w:val="0"/>
          <w:i w:val="0"/>
        </w:rPr>
        <w:t>精确定位（厘米级）。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