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 — 第5章用例族详细描述（三）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 xml:space="preserve">本文件接续 </w:t>
      </w:r>
      <w:r>
        <w:rPr>
          <w:rFonts w:ascii="Courier New" w:hAnsi="Courier New" w:eastAsia="Courier New"/>
          <w:b w:val="0"/>
          <w:i w:val="0"/>
          <w:lang w:val="zh-CN" w:eastAsia="zh-CN"/>
        </w:rPr>
        <w:t>part04_用例族详细描述二.md</w:t>
      </w:r>
      <w:r>
        <w:rPr>
          <w:rFonts w:ascii="SimSun" w:hAnsi="SimSun" w:eastAsia="SimSun"/>
          <w:b w:val="0"/>
          <w:i w:val="0"/>
          <w:lang w:val="zh-CN" w:eastAsia="zh-CN"/>
        </w:rPr>
        <w:t>，覆盖第5章用例族 5.11–5.13 的完整3GPP结构化用例描述，并补充第6章业务需求的详细KPI矩阵。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5.11 医疗健康用例（详细）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5.11-A：远程机器人手术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远程机器人手术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UC-5.11-A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经验丰富的外科医生在数百公里外通过6G网络操控手术机器人实施精密手术，触觉反馈技术使外科医生能感受到手术中的力觉，实现"同室手术"体验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外科医生（远端）、手术机器人（本地）、患者、6G网络、手术室管理系统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网络提供确定性亚毫秒时延；手术机器人具备触觉反馈能力；紧急情况下本地外科医生待命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外科医生通过专用操控台登录手术系统 → 2. 网络建立超低时延专用通道 → 3. 医生操作手柄，指令通过6G实时传送至机器人 → 4. 机器人精确执行手术操作 → 5. 力觉、视觉反馈实时传回医生端 → 6. 异常情况触发本地医生接管或自动暂停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手术完成；操作日志完整归档；患者生命体征正常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ms（单向）；&lt; 2 ms（往返）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99.99999%（七个9）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Gbps（视频+触觉+控制）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抖动需求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μs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安全需求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端到端加密；完整性保护；防重放攻击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5.11-B：连续健康监测与AI早期预警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连续健康监测与AI早期预警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UC-5.11-B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用户佩戴的智能健康设备通过6G网络持续上传心电、血糖、血压、血氧等生命体征数据，AI系统实时分析并在病情恶化前数小时发出预警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可穿戴健康设备（ECG/血糖仪/血氧仪）、6G网络、AI健康分析平台、医疗机构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设备已注册并与用户医疗档案关联；AI模型已完成针对性训练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可穿戴设备持续采集生命体征数据 → 2. 数据通过6G低功耗通道上传云平台 → 3. AI模型实时分析数据异常 → 4. 发现异常趋势时向用户和医生发送预警 → 5. 医生远程查看数据并做出初步判断 → 6. 必要时安排用户就诊或急救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健康数据已安全存储；早期干预已完成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数据传输功耗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mW（持续上传）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1–60 s（按生理参数类型）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s（预警推送）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符合GDPR/HIPAA规范；用户授权访问控制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5.11-C：5G/6G辅助急救现场急救指导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急救现场远程专家指导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UC-5.11-C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急救人员抵达现场后，通过6G网络实时将高清视频和患者生命体征数据传送至医院急救室，由专科医生远程指导急救操作，提高院前急救质量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急救人员（现场）、专科医生（医院）、患者、急救设备、6G网络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急救人员配备6G可穿戴摄像和通信设备；救护车搭载移动6G终端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急救人员抵达现场后立即开启6G视频通道 → 2. 现场画面和患者体征实时传输至急救室 → 3. 专科医生根据实时信息给出急救指导 → 4. 急救人员按指导实施操作 → 5. 患者被送往医院途中保持视频连线 → 6. 急救室提前做好接诊准备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急救记录已归档；患者入院手续已准备好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视频质量需求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4K HDR（临床级）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上行数据速率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Mbps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网络覆盖需求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救护车行驶路线全程无缝覆盖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5.12 公共安全与关键任务用例（详细）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5.12-A：大规模灾害应急通信网络快速部署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大规模灾害应急通信网络快速部署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UC-5.12-A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地震、洪水等大规模灾害导致地面通信基础设施损毁时，通过无人机基站、卫星通信和应急移动基站在数小时内恢复灾区通信，支持救援协调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应急指挥中心、无人机基站、卫星终端、移动应急基站车、救援人员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应急通信装备处于待命状态；卫星回传已预先协调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灾害发生后应急指挥中心评估通信损毁范围 → 2. 向灾区部署无人机基站（30分钟内） → 3. 无人机基站通过卫星回传接入核心网 → 4. 救援人员终端自动接入应急网络 → 5. 建立优先通信通道保障指挥协调 → 6. 随地面基础设施恢复逐步撤除应急装备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灾区通信恢复；救援协调顺利进行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部署时间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30 min（无人机基站覆盖首批区域）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覆盖容量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1000 同时在线用户/基站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99.9%（应急场景）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5.12-B：大规模活动人群安全管理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大规模活动人群安全管理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UC-5.12-B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在大型体育赛事、音乐会或庆典活动中，6G网络结合ISAC感知能力实时监测人群密度和流动，预警踩踏风险，引导人群疏散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活动组织方、安保人员、6G基站（ISAC）、AI安全分析平台、应急救援队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场馆已完成6G密集部署并启用ISAC功能；AI人群分析模型已部署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6G ISAC持续感知人群密度分布 → 2. AI平台实时分析人群流动趋势 → 3. 检测到人群过度聚集时发出预警 → 4. 向安保人员和LED屏发送疏导指令 → 5. 通过广播系统引导人群有序疏散 → 6. 持续监测直至人群密度恢复安全水平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踩踏事故预防；安全管理报告已生成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人员定位≤2 m；密度估算误差&lt;5%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预警时间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比事故发生提前≥3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系统容量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支持10万+同时在线终端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5.12-C：跨机构实时协同指挥作战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跨机构实时协同指挥作战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UC-5.12-C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消防、警察、医疗、军队等多个机构在应急事件中通过统一的6G关键任务通信平台实现跨机构实时协同，共享态势信息、统一指挥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多机构应急人员、统一指挥中心、6G关键任务专网、无人机侦察系统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各机构终端支持统一6G关键任务通信协议；互联互通认证已完成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事件发生后各机构建立跨机构协同会话 → 2. 无人机侦察实时视频回传指挥中心 → 3. 指挥中心实时获取各队伍位置和状态 → 4. 统一分配任务并下达指令 → 5. 各队伍实时上报进展和需求 → 6. 任务完成后自动生成协同报告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任务完成；协同作战记录完整归档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ms（指挥指令传达）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99.999%（关键通信）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安全需求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端到端加密；身份认证；访问控制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5.13 数字孪生用例（详细）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5.13-A：城市数字孪生实时运营管理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城市数字孪生实时运营管理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UC-5.13-A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构建城市级数字孪生平台，实时同步城市基础设施、交通、能源、环境等系统的运行状态，支持城市管理者基于数字孪生进行规划决策和应急响应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城市各类传感器（数亿个）、6G网络、城市数字孪生平台、政府管理机构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城市6G全覆盖；各类传感器全面部署；数字孪生平台已建设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数亿传感器持续采集城市实时数据 → 2. 数据通过6G网络汇聚至数字孪生平台 → 3. 平台实时更新城市虚拟模型（秒级同步） → 4. 管理者在孪生平台中查看城市运行状态 → 5. AI系统预测可能的问题并提出建议 → 6. 管理者在孪生平台中仿真验证方案后实施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城市运行数据已归档；管理决策记录完整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数据汇聚速率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Tbps（城市级汇聚）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同步延迟需求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s（物理-虚拟同步）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覆盖传感器数量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亿级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5.13-B：工厂数字孪生精益生产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工厂数字孪生精益生产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UC-5.13-B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工厂每台设备和每条生产线在虚拟空间中建立精确数字孪生，通过实时数据同步支持生产仿真优化、设备寿命预测和工艺参数调优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工厂设备（传感器/执行器）、6G专网、数字孪生仿真平台、生产工程师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工厂6G覆盖；设备数字孪生模型已建立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设备传感器实时采集运行参数 → 2. 数据通过6G同步至数字孪生模型 → 3. 孪生模型运行仿真预测设备状态 → 4. 工程师在仿真环境中优化工艺参数 → 5. 优化方案先在虚拟环境验证 → 6. 验证通过后在真实生产线执行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生产效率提升；设备故障率降低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同步延迟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仿真精度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与真实设备误差&lt;1%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Gbps（单工厂汇聚）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5.13-C：6G网络自身数字孪生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6G网络自身数字孪生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UC-5.13-C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构建6G网络自身的数字孪生，完整映射物理网络的拓扑、负荷、性能和故障状态，用于网络规划优化、新功能仿真验证和自动化运维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6G网络元素（基站/核心网/传输）、网络管理系统（NMS）、数字孪生仿真引擎、运营商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网络各元素支持遥测数据导出；数字孪生引擎已部署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网络持续向孪生引擎输出遥测数据 → 2. 孪生引擎实时更新虚拟网络状态 → 3. 运营商在孪生中仿真新策略（如新切片方案） → 4. 仿真结果评估通过后在真实网络部署 → 5. 故障预测模型在孪生中训练和验证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新策略已安全验证；网络风险已降低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同步延迟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仿真节点数量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支持百万级网络节点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6 业务需求详细KPI矩阵（补充）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以下表格补充了第6.2节各用例族的详细KPI数值需求，基于上述3.1-5.13节用例分析整理。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6.2-详细 各用例族关键KPI汇总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用例族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峰值数据速率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用户体验速率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时延抖动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移动速度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连接密度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Tbps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中（10⁴/km²）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cm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5.2 URLLC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Mbps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Mbps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中（10⁵/km²）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cm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5.3 极高速率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Tbps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低（10³/km²）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高（10⁶/km²）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高（10⁶/km²）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0.1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5.6 全息通信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Tbps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低（10³/km²）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极高（10⁷/km²）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cm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5.8 车联网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高（10⁵/km²）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0.1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Mbps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低（10³/km²）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Mbps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Kbps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N/A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30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极高（10⁸/km²）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μs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30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中（10⁴/km²）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cm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300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高（10⁵/km²）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Tbps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Gbps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极高（10⁷/km²）</w:t>
            </w:r>
          </w:p>
        </w:tc>
        <w:tc>
          <w:tcPr>
            <w:tcW w:type="dxa" w:w="9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0.1 m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/>
      <w:r>
        <w:rPr>
          <w:rFonts w:ascii="SimSun" w:hAnsi="SimSun" w:eastAsia="SimSun"/>
          <w:b w:val="0"/>
          <w:i/>
          <w:lang w:val="zh-CN" w:eastAsia="zh-CN"/>
        </w:rPr>
        <w:t>（附录A 50+详细用例描述见 `part06_附录A用例详情一.md`、`part07_附录A用例详情二.md`、`part08_附录A用例详情三.md`）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