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Sun" w:hAnsi="SimSun" w:eastAsia="SimSun"/>
          <w:b w:val="0"/>
          <w:i w:val="0"/>
          <w:sz w:val="36"/>
          <w:lang w:val="zh-CN" w:eastAsia="zh-CN"/>
        </w:rPr>
        <w:t>3GPP TR 22.870 V2.0.0 — 第5章用例族详细描述（一）</w:t>
      </w:r>
    </w:p>
    <w:p>
      <w:pPr>
        <w:ind w:left="480"/>
      </w:pPr>
      <w:r>
        <w:rPr>
          <w:rFonts w:ascii="SimSun" w:hAnsi="SimSun" w:eastAsia="SimSun"/>
          <w:b w:val="0"/>
          <w:i w:val="0"/>
          <w:lang w:val="zh-CN" w:eastAsia="zh-CN"/>
        </w:rPr>
        <w:t xml:space="preserve">本文件是 </w:t>
      </w:r>
      <w:r>
        <w:rPr>
          <w:rFonts w:ascii="Courier New" w:hAnsi="Courier New" w:eastAsia="Courier New"/>
          <w:b w:val="0"/>
          <w:i w:val="0"/>
          <w:lang w:val="zh-CN" w:eastAsia="zh-CN"/>
        </w:rPr>
        <w:t>part01_基础内容.md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/ </w:t>
      </w:r>
      <w:r>
        <w:rPr>
          <w:rFonts w:ascii="Courier New" w:hAnsi="Courier New" w:eastAsia="Courier New"/>
          <w:b w:val="0"/>
          <w:i w:val="0"/>
          <w:lang w:val="zh-CN" w:eastAsia="zh-CN"/>
        </w:rPr>
        <w:t>part02_用例与需求概览.md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的扩展内容，对第5章各用例族给出完整的3GPP结构化用例描述，包含前提条件、服务流程、后置条件和关键性能指标（KPI）。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5.1 沉浸式通信用例（详细）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5.1-A：全球多方沉浸式协作会议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全球多方沉浸式协作会议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UC-5.1-A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沉浸式通信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分布于全球不同地点的多名用户通过6G网络和XR头显设备，在共享全息虚拟会议空间中实时交互，体验与面对面会议相同的沉浸感和临场感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远程与会者（多人）、XR终端设备、6G网络、边缘渲染服务器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所有参与者配备XR终端；网络提供≥100 Gbps上/下行速率、&lt;1 ms端到端时延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发起方通过应用创建沉浸式会议会话 → 2. 网络为所有参与者建立多路低时延连接 → 3. 各端采集三维音视频和动作数据 → 4. 边缘节点实时渲染共享虚拟空间 → 5. 各端接收并显示其他参与者的全息形象 → 6. 支持手势、语音、白板等实时交互 → 7. 会议内容实时记录并可回放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会议内容已归档；所有参与者恢复各自独立会话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下行数据速率需求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 Gbps（多路全息流）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端到端时延需求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定位精度需求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cm（手势捕捉）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5.1-B：扩展现实远程教育课堂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扩展现实远程教育课堂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UC-5.1-B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沉浸式通信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教师以全息形象"出现"在世界各地学生的学习空间中，学生可与三维教学内容实时互动，实现"教师在场"的沉浸式学习体验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教师、学生（多人）、教育内容平台、6G网络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师生均具备XR终端；教育平台支持全息三维内容推流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教师创建课堂并上传三维教学素材 → 2. 学生加入虚拟课堂 → 3. 教师全息像同步至所有学生设备 → 4. 三维教学内容在虚拟空间中展示 → 5. 学生可通过手势与内容交互（如解剖三维模型） → 6. 教师实时查看每位学生的互动进度 → 7. 课程结束后生成学习记录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课程内容和学生互动记录已保存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下行数据速率需求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 Gbps（全息内容流）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端到端时延需求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5.1-C：沉浸式文化遗产数字参观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沉浸式文化遗产数字参观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UC-5.1-C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沉浸式通信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用户通过XR终端在家中或任意地点"实地参观"世界文化遗产，体验历史场景复原、交互式导览和多感官（视觉、听觉、触觉）沉浸体验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用户（访客）、内容提供商、6G网络、云渲染集群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高保真三维遗产内容已数字化；网络具备大带宽低时延传输能力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用户选择参观目的地并启动XR体验 → 2. 网络按需流式传输三维场景内容 → 3. 边缘云实时渲染用户视角画面 → 4. 用户通过移动和手势探索虚拟空间 → 5. 系统根据用户位置触发历史场景动画和语音讲解 → 6. 支持多用户同时在线互动参观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参观行为数据记录供内容优化使用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下行数据速率需求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50 Gbps（4K全景+触觉反馈）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端到端时延需求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2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5.2 超高可靠低时延通信（URLLC）用例（详细）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5.2-A：工业机器人远程实时控制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工业机器人远程实时控制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UC-5.2-A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URLLC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操作员通过6G网络对位于远端工厂或危险环境的工业机器人实施毫秒级精准控制，实时感知机器人状态并获取力反馈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操作员、工业机器人系统、6G网络、工厂控制中心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机器人配备6G通信模块；操作端具备力反馈设备；网络保证确定性时延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操作员登录远程控制界面 → 2. 网络为控制指令和状态反馈建立专用确定性通道 → 3. 操作员下达控制指令 → 4. 机器人在&lt;1 ms内响应执行 → 5. 机器人力觉、位置状态实时回传 → 6. 操作员接收力反馈并调整操作 → 7. 异常情况触发自动安全停止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操作日志完整记录；安全状态已确认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上下行时延需求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0.5 ms（单向）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99.99999%（七个9）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抖动需求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10 μs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中等（1-100 Mbps）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5.2-B：电力电网关键控制保护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电力电网关键控制保护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UC-5.2-B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URLLC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6G网络为智能电网的差动保护、广域测量和自动化控制系统提供确定性通信，防止大规模停电事故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电网保护控制系统、变电站终端设备（IED）、6G网络、调度中心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所有关键节点已完成6G终端部署；网络已开通电力专用切片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IED持续监测电网电压/电流参数 → 2. 检测到故障时立即触发差动保护命令 → 3. 命令通过6G网络在&lt;1 ms内传达至对端 → 4. 对端断路器执行跳闸操作 → 5. 故障隔离完成 → 6. 故障报告上传调度中心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故障已隔离；健全区段恢复供电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端到端时延需求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99.9999%（六个9）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同步精度需求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μs（IEEE 1588）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5.2-C：高精度自动化生产线质检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高精度自动化生产线质检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UC-5.2-C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URLLC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在高速运转的生产线上，质检传感器和机械臂通过6G网络实时协同，以微秒级时延完成产品缺陷检测和分拣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质检传感器阵列、机械臂分拣系统、6G网络、MES系统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生产线全面6G化改造；MES系统与6G网络集成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高速相机和传感器采集产品图像 → 2. 图像数据通过6G传至边缘AI推理节点 → 3. AI模型在&lt;0.5 ms内完成缺陷检测 → 4. 检测结果发送至机械臂控制系统 → 5. 机械臂执行合格/不合格分拣 → 6. 质检数据实时上传MES系统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质检数据已记录；不合格品已隔离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端到端时延需求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0.5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定位精度需求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mm（机械臂定位）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5.3 极高数据速率用例（详细）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5.3-A：太赫兹无线回传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太赫兹无线回传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UC-5.3-A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极高数据速率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利用太赫兹频段（100 GHz–10 THz）建立Tbps级无线回传链路，替代城市密集区域的光纤回传，实现极高容量的无线基础设施互联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无线基站/小基站、太赫兹回传设备、6G核心网、网络运营商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配备太赫兹收发模块；视距（LoS）路径可用；自适应波束赋形已配置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基站配置太赫兹回传链路参数 → 2. 建立精准对准的定向波束 → 3. 传输聚合带宽达数百GHz的回传流量 → 4. 实时监测链路质量并自适应调整波束方向 → 5. 遇阻塞时切换备用频段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回传链路稳定运行；流量统计已记录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Tbps（峰值）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μs（传播延迟）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可用性需求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99.99%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5.3-B：实时8K/16K多路超高清直播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实时8K/16K多路超高清直播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UC-5.3-B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极高数据速率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大型体育赛事或演出场馆部署大量超高清摄像机，通过6G网络实时传输多路8K及以上分辨率视频，实现全视角、沉浸式直播体验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超高清摄像机（多台）、导播系统、6G网络、直播CDN平台、终端用户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场馆已完成6G密集部署；直播平台支持8K/16K内容分发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多台8K摄像机同时采集现场画面 → 2. 视频数据通过6G网络上传导播系统 → 3. 导播完成多机位切换和包装 → 4. 输出信号分发至全球CDN节点 → 5. 终端用户选择视角按需收看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直播内容已归档；收视数据已统计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上行数据速率需求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 Gbps（单场馆汇聚）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端到端时延需求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ms（直播端到端）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5.3-C：数据中心间超高速无线互联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数据中心间超高速无线互联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UC-5.3-C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极高数据速率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在短距离内（几百米）利用6G太赫兹频段实现数据中心机架、楼层或相邻楼宇间Tbps级无线互联，提供媲美光纤的传输能力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数据中心基础设施（服务器机柜）、无线收发模块、网络管理系统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机房部署太赫兹收发装置；无线路径无遮挡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服务器机柜间动态建立太赫兹无线链路 → 2. 系统根据流量负荷自动调度带宽 → 3. 数据以Tbps速率无损传输 → 4. 链路质量监控系统实时检测并告警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数据传输完整；链路性能指标已记录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Tbps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误码率需求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10⁻¹²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传输距离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数十至数百米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5.4 AI原生与智能网络用例（详细）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5.4-A：网络流量预测与自主资源调度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网络流量预测与自主资源调度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UC-5.4-A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AI原生与智能网络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6G网络内嵌AI推理引擎，基于历史数据和实时监测自动预测流量趋势，并提前完成无线资源、切片带宽和核心网功能的自主调度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AI推理引擎（网络侧）、RAN网元、核心网功能、运维管理系统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网络部署了AI原生框架；历史数据已完成模型训练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AI引擎持续采集网络运行遥测数据 → 2. 模型预测未来15分钟流量热点区域 → 3. 预先完成频谱资源预留和切片带宽调整 → 4. 高流量到来时无需实时调度即可提供服务 → 5. 实际结果与预测对比，持续优化模型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资源调度日志已记录；模型评估完成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推理时延需求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ms（实时预测）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预测精度需求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95%（流量预测准确率）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5.4-B：联邦学习支持的分布式网络优化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联邦学习支持的分布式网络优化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UC-5.4-B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AI原生与智能网络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多个运营商的网络节点在不共享原始用户数据的前提下，通过联邦学习框架协同训练AI优化模型，提升全局网络性能同时保护隐私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参与方网络节点（多运营商）、联邦学习协调服务器、隐私保护计算平台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各参与方已部署联邦学习客户端；隐私保护机制（差分隐私/安全聚合）已配置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协调服务器初始化全局模型并分发 → 2. 各本地节点用本地数据训练本地模型 → 3. 各节点仅上传加密梯度（不传原始数据） → 4. 协调服务器聚合梯度更新全局模型 → 5. 新全局模型分发至各节点 → 6. 迭代至模型收敛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优化模型已部署；参与方数据隐私未被泄露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通信开销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比集中式训练减少90%数据传输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模型精度需求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接近集中式训练水平（差异&lt;2%）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5.4-C：AI代理自主网络故障诊断与修复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AI代理自主网络故障诊断与修复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UC-5.4-C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AI原生与智能网络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部署在网络各层的AI代理协同工作，自主完成故障根因定位、影响评估和修复操作，将故障恢复时间从分钟级缩短至秒级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AI故障诊断代理、网元管理系统、告警平台、运维人员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AI代理已完成知识库建模；代理具有执行网络操作的权限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告警系统检测到异常事件 → 2. AI代理接收告警并启动关联分析 → 3. 代理通过网络遥测数据定位根因 → 4. 代理生成修复方案并评估影响 → 5. 低影响修复方案自动执行；高影响方案提交人工审批 → 6. 执行修复操作并验证效果 → 7. 修复知识更新至知识库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故障已修复；知识库已更新；事件报告已生成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故障检测时延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自主修复覆盖率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80%（常见故障类型）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误修复率需求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0.1%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5.5 通信感知一体化用例（详细）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5.5-A：城市道路交通流量感知与优化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城市道路交通流量感知与优化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UC-5.5-A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通信感知一体化（ISAC）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6G基站利用ISAC技术在通信服务的同时感知道路上的车辆密度、速度和行人位置，实时向交通管理系统提供高精度感知数据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6G基站（ISAC功能）、交通管理系统、车辆用户、行人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基站已启用ISAC功能；交通管理系统已接入6G感知数据接口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基站同时发射通信和感知波形 → 2. 感知处理器实时分析反射信号 → 3. 提取车辆速度（多普勒）、密度（目标计数）和位置（角度+距离） → 4. 感知数据上传交通管理云平台 → 5. 平台生成实时交通热力图 → 6. 自动调整信号灯配时方案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交通拥堵减少；感知数据已归档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感知距离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200 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距离分辨率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0.5 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角度分辨率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通信性能损失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5%（相比纯通信模式）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5.5-B：低空无人机入侵探测与反制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低空无人机入侵探测与反制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UC-5.5-B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通信感知一体化（ISAC）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在机场、重要设施等敏感区域，6G网络利用ISAC能力持续监测低空空域，实时识别和追踪非授权无人机，并联动反制系统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6G基站（低空感知）、安全监控系统、反制设备、安保人员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低空感知功能已在特定区域激活；电子干扰/驱离系统已连接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基站ISAC功能持续扫描低空目标 → 2. 检测到小型飞行物时触发精确追踪 → 3. AI分类器判断目标类型（无人机/鸟类等） → 4. 确认为非授权无人机时发出告警 → 5. 系统联动反制设备（通信干扰/激光） → 6. 目标离开或被迫降后解除告警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事件记录已归档；安全态势已恢复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感知距离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2 km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目标速度感知范围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0–300 km/h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目标分辨率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小型无人机（≥ 0.01 m² RCS）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虚警率需求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5.5-C：室内高精度定位与环境建模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室内高精度定位与环境建模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UC-5.5-C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通信感知一体化（ISAC）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6G室内部署利用ISAC功能同时提供厘米级定位服务和实时三维环境建模，支持仓储机器人导航、紧急疏散引导等应用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室内6G接入点（ISAC）、移动终端/机器人、室内应用平台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室内已完成6G接入点部署；感知地图已初始化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接入点持续广播感知信号 → 2. 对移动目标进行多点协同定位 → 3. 实时更新三维环境动态地图 → 4. 目标位置和环境信息推送至应用层 → 5. 机器人/导航系统使用地图规划路径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定位数据已记录；环境地图已更新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定位精度需求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10 cm（水平） / ≤ 30 cm（垂直）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感知刷新率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 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覆盖范围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大型商场/仓库（≥ 10,000 m²）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/>
      <w:r>
        <w:rPr>
          <w:rFonts w:ascii="SimSun" w:hAnsi="SimSun" w:eastAsia="SimSun"/>
          <w:b w:val="0"/>
          <w:i/>
          <w:lang w:val="zh-CN" w:eastAsia="zh-CN"/>
        </w:rPr>
        <w:t>（第5.6–5.13节详细用例描述见 `part04_用例族详细描述二.md` 和 `part05_用例族详细描述三.md`）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imSun" w:hAnsi="SimSun" w:eastAsia="SimSun"/>
        <w:sz w:val="22"/>
        <w:szCs w:val="22"/>
        <w:lang w:val="zh-CN" w:eastAsia="zh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SimSun" w:hAnsi="SimSun" w:eastAsia="SimSun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Sun" w:hAnsi="SimSun" w:eastAsia="SimSun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imSun" w:hAnsi="SimSun" w:eastAsia="SimSun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imSun" w:hAnsi="SimSun" w:eastAsia="SimSun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