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Sun" w:hAnsi="SimSun" w:eastAsia="SimSun"/>
          <w:b w:val="0"/>
          <w:i w:val="0"/>
          <w:sz w:val="36"/>
          <w:lang w:val="zh-CN" w:eastAsia="zh-CN"/>
        </w:rPr>
        <w:t>3GPP TR 22.870 V2.0.0 — 第5章用例族详细描述（二）</w:t>
      </w:r>
    </w:p>
    <w:p>
      <w:pPr>
        <w:ind w:left="480"/>
      </w:pPr>
      <w:r>
        <w:rPr>
          <w:rFonts w:ascii="SimSun" w:hAnsi="SimSun" w:eastAsia="SimSun"/>
          <w:b w:val="0"/>
          <w:i w:val="0"/>
          <w:lang w:val="zh-CN" w:eastAsia="zh-CN"/>
        </w:rPr>
        <w:t xml:space="preserve">本文件接续 </w:t>
      </w:r>
      <w:r>
        <w:rPr>
          <w:rFonts w:ascii="Courier New" w:hAnsi="Courier New" w:eastAsia="Courier New"/>
          <w:b w:val="0"/>
          <w:i w:val="0"/>
          <w:lang w:val="zh-CN" w:eastAsia="zh-CN"/>
        </w:rPr>
        <w:t>part03_用例族详细描述一.md</w:t>
      </w:r>
      <w:r>
        <w:rPr>
          <w:rFonts w:ascii="SimSun" w:hAnsi="SimSun" w:eastAsia="SimSun"/>
          <w:b w:val="0"/>
          <w:i w:val="0"/>
          <w:lang w:val="zh-CN" w:eastAsia="zh-CN"/>
        </w:rPr>
        <w:t>，覆盖第5章用例族 5.6–5.10 的完整3GPP结构化用例描述。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5.6 全息与沉浸式通信用例（详细）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5.6-A：实时全息远程呈现（Holographic Telepresence）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实时全息远程呈现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UC-5.6-A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全息与沉浸式通信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将远端人物或物体的完整光场数据实时采集并传输，在接收端通过全息显示设备重建逼真的三维全息影像，实现"人物跨空间实时在场"的通信体验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发送端（光场采集阵列）、接收端（全息显示设备）、6G网络、光场编解码平台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发送端配备多角度光场摄像机阵列；接收端具备全息显示能力；网络提供Tbps级带宽和&lt;1 ms时延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发送端光场摄像机阵列捕捉完整三维影像 → 2. 光场数据实时压缩编码 → 3. 通过6G网络传输至接收端 → 4. 接收端实时解码重建光场 → 5. 全息显示设备投射三维影像 → 6. 支持接收方从任意视角观察全息影像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通话记录已保存（按需）；会话流量统计完成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Tbps（未压缩光场）；≥ 100 Gbps（压缩后）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端到端时延需求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帧率需求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120 fps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5.6-B：大型演出全息直播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大型演出全息直播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UC-5.6-B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全息与沉浸式通信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体育场馆或演出现场通过6G网络向全球观众同步传输全息直播内容，观众可在家中或专业全息影院欣赏"真人大小"的全息演出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演出现场（光场采集）、直播平台、6G网络、全球观众（全息终端）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场馆部署全息采集系统；直播平台支持全息内容分发；终端用户具备全息显示设备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场馆多角度采集演出光场数据 → 2. 实时编码并上传至直播平台 → 3. 平台分发至全球CDN节点 → 4. 用户通过全息终端按需收看 → 5. 支持用户切换视角和互动反应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直播内容已归档；全球观看人数和质量数据已统计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下行数据速率需求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 Gbps（单用户全息流）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端到端时延需求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100 ms（直播允许稍大延迟）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并发用户数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百万级（通过CDN扩展）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5.6-C：全息医学影像远程会诊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全息医学影像远程会诊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UC-5.6-C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全息与沉浸式通信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医生通过全息显示技术以原尺寸三维形式查看患者CT/MRI影像，并与远端专家共同进行全息会诊，大幅提升诊断精准度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主治医生、远程专家、患者（数据）、医院PACS系统、6G网络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医院已部署全息会诊终端；影像数据已数字化并接入6G网络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医生调取患者三维影像数据 → 2. 影像通过6G网络同步至专家端 → 3. 双方在各自终端查看同一全息影像 → 4. 专家远程标注病灶并讲解 → 5. 标注结果实时同步至主治医生端 → 6. 生成会诊报告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会诊报告已保存至电子病历；影像数据已安全归档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 Gbps（医学影像三维数据）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安全需求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医疗数据端到端加密；符合HIPAA/GDPR要求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5.7 工业自动化与先进物联网用例（详细）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5.7-A：智能工厂全连接柔性生产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智能工厂全连接柔性生产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UC-5.7-A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工业自动化与先进物联网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工厂中所有生产设备、AGV小车、机械臂、传感器通过6G私网实现全无线连接，生产线根据订单需求在数秒内完成柔性重组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生产设备（PLC/机械臂）、AGV、传感器、6G专网、MES/ERP系统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工厂部署6G私网基础设施；所有设备已完成6G化改造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MES系统接收新订单并生成生产计划 → 2. 6G网络向相关设备下达重组指令 → 3. AGV完成物料和设备的自动调配 → 4. 生产线在&lt;30 s内完成重组 → 5. 开始柔性生产，全程设备状态实时上传 → 6. AI系统监控质量并按需调整参数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生产数据已记录；成品质量符合要求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ms（控制信令）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连接密度需求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1,000,000 设备/km²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定位精度需求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10 cm（AGV定位）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5.7-B：协作机器人（Cobot）人机安全协作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协作机器人人机安全协作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UC-5.7-B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工业自动化与先进物联网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工人与协作机器人在同一操作空间内共同完成精密装配任务，6G网络实时传输工人位置和机器人状态，确保毫秒级碰撞预防和安全停止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工人（配备可穿戴传感器）、协作机器人、6G专网、安全控制系统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可穿戴传感器和机器人均接入6G网络；安全协议已配置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传感器持续采集工人肢体位置（毫秒级刷新） → 2. 通过6G网络实时上报至安全控制系统 → 3. 安全系统预测工人运动轨迹 → 4. 当预测碰撞概率超阈值时，立即向机器人发送减速/停止指令 → 5. 机器人在&lt;0.5 ms内响应 → 6. 危险解除后自动恢复操作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安全事件日志已记录；生产效率数据已统计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0.5 ms（安全停止指令）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99.99999%（安全相关通信）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定位精度需求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5 cm（人体部位位置）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5.7-C：大规模工业设备预测性维护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大规模工业设备预测性维护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UC-5.7-C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工业自动化与先进物联网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工厂中数十万个振动、温度、压力传感器通过6G网络将设备运行数据实时上传，AI系统分析数据预测设备故障，安排预防性维护避免意外停机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传感器阵列（数十万个）、6G网络、边缘AI平台、维护管理系统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传感器已全面部署；AI预测模型已训练完成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传感器持续采集并上报设备状态数据 → 2. 边缘AI平台实时分析时序数据 → 3. 检测到异常特征时预测剩余使用寿命（RUL） → 4. 在预计故障前N天生成维护工单 → 5. 维护团队按工单安排预防性维护 → 6. 维护结果反馈优化AI模型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设备故障率降低≥50%；维护成本降低≥30%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上行数据速率需求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中等（汇聚后≥10 Gbps）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连接密度需求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100,000 设备/km²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100 ms（传感器数据上报）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5.8 车联网服务用例（详细）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5.8-A：高级自动驾驶协同感知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高级自动驾驶协同感知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UC-5.8-A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车联网服务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多辆自动驾驶车辆和路侧基础设施（RSU）通过6G网络实时共享雷达、激光雷达和摄像机感知数据，构建超出单车视线的共享环境模型，实现协同安全驾驶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自动驾驶车辆（多辆）、路侧单元（RSU）、6G网络、交通管理平台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车辆和RSU均接入6G网络；协同感知协议已部署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各车辆和RSU采集周围环境传感器数据 → 2. 数据通过6G网络广播至附近车辆和RSU → 3. 各端融合多源数据构建共享驾驶地图 → 4. 基于共享地图优化路径规划和驾驶决策 → 5. 检测到危险时向所有相关车辆发送预警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驾驶数据已记录；事故风险显著降低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端到端时延需求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ms（安全关键数据）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Gbps（传感器数据共享）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定位精度需求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0.1 m（绝对位置精度）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5.8-B：网络辅助下的紧急车辆优先通行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网络辅助下的紧急车辆优先通行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UC-5.8-B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车联网服务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救护车、消防车等紧急车辆接近时，6G网络自动通知周围车辆和交通信号系统，协调让出通行通道，减少紧急响应时间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紧急车辆、普通车辆、交通信号系统、6G网络、应急调度中心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所有车辆具备6G V2X能力；交通信号系统已接入6G网络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紧急车辆广播优先通行请求（含预计路线） → 2. 6G网络向沿线车辆发送避让通知 → 3. 交通信号系统沿路线调整为绿波通行 → 4. 沿线车辆接收通知并让道 → 5. 紧急车辆快速通过 → 6. 通道恢复正常通行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紧急响应时间缩短≥30%；通道清空成功率≥99%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10 ms（通知下发）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通知范围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前方500 m内所有相关车辆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5.8-C：高速铁路乘客无缝宽带服务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高速铁路乘客无缝宽带服务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UC-5.8-C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车联网服务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时速350 km/h以上的高速列车乘客全程享受无中断、稳定的高速宽带服务，包括视频流、实时游戏和企业VPN等高带宽应用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高铁乘客（终端）、列车车载6G系统、沿线地面6G基站、核心网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铁路沿线已部署6G专用基站；列车安装高增益天线系统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列车车载6G网关与沿线基站建立连接 → 2. 系统预测下一基站并提前建立切换连接 → 3. 在不中断会话的情况下完成基站切换 → 4. 乘客终端通过车载Wi-Fi连接6G网关 → 5. 全程保持1 Gbps以上用户体验速率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切换成功率≥99.99%；零中断服务实现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用户体验速率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Gbps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切换时延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0 ms（无缝切换）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支持移动速度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500 km/h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5.9 极致覆盖与移动性用例（详细）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5.9-A：偏远地区卫星直连宽带接入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偏远地区卫星直连宽带接入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UC-5.9-A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极致覆盖与移动性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普通6G智能手机无需专用设备，直接通过低轨卫星星座获取宽带接入服务，为偏远山区、草原、沙漠等地区居民提供与城市相同的通信服务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终端用户（普通手机）、低轨卫星星座、6G核心网、卫星地面站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手机支持卫星直连通信；LEO卫星星座已完成全球覆盖部署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手机自动检测地面网络不可用 → 2. 切换至卫星直连模式 → 3. 与可见低轨卫星建立6G连接 → 4. 通过卫星网络接入互联网服务 → 5. 进入地面覆盖区域后自动切回地面网络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通信记录已保留；无缝切换完成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用户体验速率（卫星模式）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 Mbps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端到端时延（LEO）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覆盖范围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全球（含南北极）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切换中断时间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0 ms（优化后）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5.9-B：海上船舶通信与安全保障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海上船舶通信与安全保障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UC-5.9-B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极致覆盖与移动性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远洋船舶在公海航行期间通过6G卫星/NTN网络持续获得高速通信服务，支持船员生活娱乐、船舶自动化控制、安全监控和紧急求救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船舶（含船员和控制系统）、6G NTN网络、岸基控制中心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船舶安装高增益海事天线；卫星星座覆盖所有航线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船舶在港口完成6G NTN注册 → 2. 出港后自动接入海事6G卫星网络 → 3. 船员享受视频通话、互联网娱乐服务 → 4. 船舶控制系统实时向岸基回传运行状态 → 5. 遇紧急情况时优先保障求救信号传输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航行数据已记录；船员通信账单已生成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 Mbps（船舶汇聚）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100 ms（MEO/GEO）；&lt; 20 ms（LEO）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可用性需求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99.9%（全球范围）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5.9-C：空中飞机互联网服务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空中飞机互联网服务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UC-5.9-C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极致覆盖与移动性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民用飞机在飞行过程中通过6G NTN网络向乘客提供高质量宽带互联网服务，速率达到地面5G/6G水平，支持视频会议和4K/8K流媒体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飞机（含乘客终端）、机载天线系统、LEO卫星网络、6G核心网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飞机安装可切换的多波束卫星天线；LEO星座提供航线覆盖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飞机起飞后自动接入最佳卫星波束 → 2. 机载网关与LEO卫星建立高带宽链路 → 3. 乘客通过机舱Wi-Fi连接机载网关 → 4. 系统根据飞机位置自动切换最优卫星 → 5. 全程提供稳定高速互联网服务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飞行互联网服务记录已保存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机舱汇聚速率需求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Gbps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单用户速率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 Mbps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支持飞行高度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0–15 km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支持速度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1000 km/h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5.10 零能耗与超低功耗用例（详细）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5.10-A：大规模零能耗农业传感网络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大规模零能耗农业传感网络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UC-5.10-A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零能耗与超低功耗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农田中大量部署零能耗土壤传感器，通过采集太阳能或射频能量供电，持续监测土壤水分、养分和温度，为精准农业提供数据支撑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零能耗传感器（百万量级）、6G基站（含WPT功能）、农业管理平台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传感器支持能量采集和超低功耗6G通信；基站支持无线能量传输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传感器从太阳光或基站射频信号采集能量 → 2. 积累足够能量后唤醒并采集土壤数据 → 3. 通过6G低功耗通信上报数据 → 4. 数据上传至农业管理云平台 → 5. 平台生成灌溉和施肥建议 → 6. 传感器返回超低功耗休眠状态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农业数据已记录；精准农业决策已生成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设备功耗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100 μW（工作状态）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数据上报周期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1分钟至1小时（可配置）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连接密度需求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 设备/m²（密集场景）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电池寿命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无需更换电池（能量采集支撑）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5.10-B：智慧建筑零能耗传感与控制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智慧建筑零能耗传感与控制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UC-5.10-B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零能耗与超低功耗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建筑内大量窗户、开关、门锁、温湿度传感器配备零能耗6G模块，通过采集周围光能、热能或振动能量供电，实现无布线的智慧建筑管理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零能耗建筑设备（传感器/控制器）、6G室内接入点、楼宇管理系统（BMS）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建筑内已部署6G室内接入点；BMS已接入6G网络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零能耗传感器定期采集环境数据 → 2. 通过6G上报至BMS → 3. BMS根据数据智能调节暖通空调、照明 → 4. 控制器接收BMS指令执行开关操作 → 5. 能耗数据实时分析优化节能策略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建筑能耗减少≥30%；设备全部正常运行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设备功耗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 μW（平均）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数据更新周期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5–60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通信距离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室内10–100 m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用例 5.10-C：全球供应链零能耗资产追踪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全球供应链零能耗资产追踪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UC-5.10-C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零能耗与超低功耗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在货物包装上贴附零能耗6G追踪标签，无论货物位于仓库、运输途中还是零售终端，均可实时追踪位置和环境状态（温度、震动、开封检测）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零能耗追踪标签、6G基站/NTN、供应链管理平台、客户/运营商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标签支持多场景能量采集（RF/光/动能）；6G覆盖主要物流节点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货物打包时附贴零能耗追踪标签 → 2. 标签按需激活并上报位置/状态 → 3. 数据通过最近可用6G网络传输 → 4. 供应链平台实时掌握全链路货物状态 → 5. 异常（破损、温超标）立即触发告警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全程追踪记录已归档；异常已处理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标签功耗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μW（平均）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位置精度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室内≤1 m；室外≤10 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标签成本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$0.10（大批量）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/>
      <w:r>
        <w:rPr>
          <w:rFonts w:ascii="SimSun" w:hAnsi="SimSun" w:eastAsia="SimSun"/>
          <w:b w:val="0"/>
          <w:i/>
          <w:lang w:val="zh-CN" w:eastAsia="zh-CN"/>
        </w:rPr>
        <w:t>（第5.11–5.13节详细用例描述见 `part05_用例族详细描述三.md`）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imSun" w:hAnsi="SimSun" w:eastAsia="SimSun"/>
        <w:sz w:val="22"/>
        <w:szCs w:val="22"/>
        <w:lang w:val="zh-CN" w:eastAsia="zh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SimSun" w:hAnsi="SimSun" w:eastAsia="SimSun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imSun" w:hAnsi="SimSun" w:eastAsia="SimSun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imSun" w:hAnsi="SimSun" w:eastAsia="SimSun"/>
      <w:b/>
      <w:bCs/>
      <w:color w:val="4F81BD" w:themeColor="accent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imSun" w:hAnsi="SimSun" w:eastAsia="SimSun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