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Sun" w:hAnsi="SimSun" w:eastAsia="SimSun"/>
          <w:b w:val="0"/>
          <w:i w:val="0"/>
          <w:sz w:val="36"/>
          <w:lang w:val="zh-CN" w:eastAsia="zh-CN"/>
        </w:rPr>
        <w:t>3GPP TR 22.870 V2.0.0 — 附录A 用例详细描述（一）</w:t>
      </w:r>
    </w:p>
    <w:p>
      <w:pPr>
        <w:ind w:left="480"/>
      </w:pPr>
      <w:r>
        <w:rPr>
          <w:rFonts w:ascii="SimSun" w:hAnsi="SimSun" w:eastAsia="SimSun"/>
          <w:b w:val="0"/>
          <w:i w:val="0"/>
          <w:lang w:val="zh-CN" w:eastAsia="zh-CN"/>
        </w:rPr>
        <w:t>本文件为3GPP TR 22.870 V2.0.0附录A的详细扩展内容（第1–18个用例），每个用例采用标准3GPP结构化表格格式。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附录A 用例详细描述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A.1 沉浸式远程协作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沉浸式远程协作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A.1 / UC-5.1.2-001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 沉浸式通信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分布在全球各地的团队成员通过6G网络在共享虚拟空间中进行实时三维协作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远程协作者（多人）、XR终端、6G网络、边缘渲染服务器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所有参与者配备XR终端；网络提供超低时延和超高带宽连接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发起协作会话 → 2. 建立多方连接 → 3. 终端采集三维和音频数据 → 4. 数据实时传输和同步 → 5. 各端渲染共享虚拟空间 → 6. 支持实时交互和文件共享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协作内容可保存和回放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数据速率需求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100 Gbps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99.999%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A.2 AI代理分布式协作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AI代理分布式协作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A.2 / UC-5.4.2-001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5.4 AI原生与智能网络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多个AI代理在6G网络中实时协同，自主完成网络资源分配、故障诊断和业务编排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AI代理（多个）、网络管理系统、终端用户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AI代理已部署；网络支持代理间低时延通信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监测到网络异常 → 2. AI代理互相通信协商 → 3. 制定优化方案 → 4. 执行资源调整 → 5. 验证效果并反馈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网络性能已优化；日志已记录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99.999%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A.3 网络请求的车辆服务功能执行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网络请求的车辆服务功能执行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A.3 / UC-5.8.2-002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5.8 车联网服务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网络根据道路状况和交通管理策略，主动请求车辆执行特定服务功能（减速、变道等）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6G网络、车辆（自动驾驶系统）、交通管理中心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车辆支持网络发起的服务请求协议；网络已获取实时道路信息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网络检测到交通状况变化 → 2. 评估策略 → 3. 向相关车辆发送服务请求 → 4. 车辆执行请求 → 5. 执行结果反馈至网络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交通状况改善；执行记录保存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1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99.99999%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A.4 灾害搜索与救援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灾害搜索与救援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A.4 / UC-5.12.2-002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5.12 公共安全与关键任务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灾害发生后，利用6G网络ISAC能力和无人机群快速定位被困人员并实施救援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救援人员、无人机群、6G网络（ISAC）、指挥中心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应急6G网络已部署；无人机群可用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启动应急网络 → 2. 无人机展开搜索 → 3. ISAC感知被困人员位置 → 4. 实时回传视频 → 5. 指挥中心制定方案 → 6. 引导救援人员到达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被困人员获救；事件报告已生成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99.999%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A.5 全息医疗远程会诊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全息医疗远程会诊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5.11 医疗健康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患者和医生通过全息通信技术进行远程会诊，医生可以观察患者的全息三维形象，结合实时生命体征数据做出诊断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患者（含配套传感设备）、医生（远端）、6G网络、医疗全息平台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双方具备全息终端；患者配备生命体征采集设备；医疗数据传输符合隐私规定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患者在家中启动会诊预约 → 2. 医生和患者分别激活全息终端 → 3. 全息系统采集患者体型、动作和面部信息 → 4. 生命体征数据实时传输至医生端 → 5. 医生在全息空间中"接诊"患者 → 6. 医生给出诊断意见并开具处方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诊断记录已保存；处方已发出；隐私数据已加密存档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数据速率需求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10 Gbps（全息流）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安全需求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端到端加密；GDPR合规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A.6 超高速铁路无缝宽带通信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超高速铁路无缝宽带通信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5.9 极致覆盖与移动性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时速500 km/h以上的磁浮列车乘客享受全程无中断的高速宽带服务，切换时延为零，服务质量与静止用户无差异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列车乘客（终端）、车载6G网关、沿线6G基站、核心网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铁路沿线部署专用6G基站；列车安装高增益多波束天线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列车离站前完成初始接入 → 2. 预测性波束管理提前完成切换准备 → 3. 列车高速行驶时进行无缝切换 → 4. 乘客全程保持1 Gbps以上服务 → 5. 到站后自动切换至站内Wi-Fi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乘客服务计费完成；切换记录已归档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用户体验速率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 Gbps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切换时延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支持速度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500 km/h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99.99%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A.7 工厂AGV自主导航与协同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工厂AGV自主导航与协同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5.7 工业自动化与先进物联网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数百台自主导航小车（AGV）通过6G网络与中央调度系统和其他AGV实时协同，完成仓库物料搬运任务，实现亚厘米级定位和毫秒级控制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AGV群（数百台）、6G专网、WMS仓库管理系统、中央调度AI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仓库已完成6G部署；AGV配备6G通信模块和精准传感器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WMS生成搬运任务并分配给调度AI → 2. 调度AI根据AGV位置和任务优先级生成调度方案 → 3. AGV接收任务并规划最优路径 → 4. AGV执行任务途中实时上报位置 → 5. 检测到碰撞风险时实时调整路径 → 6. 任务完成后回报WMS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搬运任务完成；AGV充电状态已更新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定位精度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5 cm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控制时延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1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99.9999%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A.8 零能耗水质监测传感器网络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零能耗水质监测传感器网络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5.10 零能耗与超低功耗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在河流、湖泊、水库中大规模部署零能耗水质传感器，通过水流动能或太阳能供电，持续监测pH值、溶解氧、有机污染物等水质参数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零能耗水质传感器、6G基站/卫星、环保监测平台、水务管理部门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传感器具备水下/水面能量采集能力；监测平台已建立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传感器采集水流能量或太阳能 → 2. 定期唤醒并采集水质数据 → 3. 通过6G低功耗通信上报数据 → 4. 监测平台分析数据并生成水质报告 → 5. 检测到污染时自动预警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水质数据完整记录；污染预警已发出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功耗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50 μW（工作态）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监测精度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pH: ±0.1；溶解氧: ±0.1 mg/L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数据上报周期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 min–1 h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A.9 实时全球资产追踪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实时全球资产追踪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5.10 零能耗与超低功耗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高价值资产（医疗设备、艺术品、工业设备）配备超低功耗6G追踪器，在全球范围内实时追踪位置，并监测温度、震动等环境参数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资产追踪器（超低功耗6G）、全球6G/NTN网络、资产管理平台、资产所有者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追踪器具备多模能量采集；6G NTN实现全球覆盖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追踪器周期性唤醒并采集数据 → 2. 通过最近可用6G网络上报 → 3. 管理平台实时显示资产位置 → 4. 异常情况（越界、震动超标）立即告警 → 5. 管理者在平台上查看历史轨迹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追踪记录完整；资产安全得到保障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电池寿命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10年（能量采集支撑）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位置精度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全球≤100 m；城市≤10 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数据上报周期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 min–1 h（按价值和风险配置）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A.10 实时雾霾与空气质量监测网络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实时雾霾与空气质量监测网络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5.5 通信感知一体化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城市6G基站利用ISAC技术在通信同时对大气中的PM2.5、NO₂、O₃等污染物浓度进行感知，实现高密度、实时的城市空气质量监测网络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6G基站（ISAC）、环保监测平台、气象部门、城市管理者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基站启用大气感知功能；感知算法已针对气溶胶场景优化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基站通过ISAC波形对大气进行扫描 → 2. 反射信号中提取污染物特征 → 3. 数据上传环保平台进行融合分析 → 4. 生成城市空气质量实时热力图 → 5. 污染物超标时向相关部门推送告警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空气质量数据已记录；告警已处理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感知精度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PM2.5浓度误差&lt;5 μg/m³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空间分辨率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100 m（城区）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刷新周期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5 min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A.11 高速公路自动驾驶车队编队行驶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高速公路自动驾驶车队编队行驶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5.8 车联网服务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多辆货车或乘用车在高速公路上以极小间距（数米）进行自动化编队行驶，通过6G V2V通信实现精准协同控制，大幅降低风阻和能耗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编队车辆（领队车+跟随车）、6G网络、车队管理平台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所有车辆具备6G V2V能力和自动驾驶控制系统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领队车发起编队请求 → 2. 跟随车加入编队并建立V2V通信 → 3. 领队车的加速/制动/转向信息实时传送至所有跟随车 → 4. 跟随车在&lt;1 ms内响应并同步动作 → 5. 保持数米车间距高速行驶 → 6. 编队解散时有序间距增大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编队顺利完成；燃油消耗记录已生成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V2V时延需求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1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位置精度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0.1 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最大车速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150 km/h（编队时）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A.12 分布式工厂跨区域协同生产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分布式工厂跨区域协同生产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5.7 工业自动化与先进物联网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位于不同城市甚至不同国家的工厂通过6G网络和边缘云协同完成同一产品的分布式生产，实现跨地域的实时生产协调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多地工厂（设备/系统）、6G骨干网、全球制造云平台、ERP系统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各工厂均接入6G高质量网络；全球制造平台已部署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制造平台分解生产任务并分配至各工厂 → 2. 各工厂实时上报生产进度 → 3. 平台协调跨工厂的物料和信息流 → 4. 各工厂完成各自工序并进行质量检验 → 5. 最终装配工厂完成总装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产品生产完成；全程质量数据已记录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跨地域时延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50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数据速率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 Gbps（各工厂上行）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99.999%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A.13 网络驱动的能源网格智能管理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网络驱动的能源网格智能管理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5.7 工业自动化与先进物联网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6G网络为智能电网的大规模分布式能源（光伏、风电、储能）的实时协调调度提供通信基础，实现电网的高比例可再生能源消纳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分布式能源（光伏/风电/储能）、6G智能电网终端、电网调度系统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能源设备配备6G通信模块；调度系统已接入6G网络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调度系统实时采集全网能源生产和消费数据 → 2. AI优化模型计算最优调度方案 → 3. 通过6G向分布式能源下达调度指令 → 4. 设备响应调度并上报状态 → 5. 系统持续优化平衡供需关系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电网稳定运行；可再生能源利用率提升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100 ms（二次调度）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连接密度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100,000 终端/km²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A.14 海洋平台无人化智能作业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海洋平台无人化智能作业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5.9 极致覆盖与移动性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海上石油钻井平台或风电场通过6G卫星网络实现无人化远程监控和运维，陆地控制中心实时掌握平台状态并远程操控关键设备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海洋平台（传感器/机器人）、LEO卫星6G网络、陆地运控中心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平台配备卫星通信天线；LEO星座提供海域覆盖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平台传感器实时采集生产状态数据 → 2. 数据通过LEO卫星6G传至陆地控制中心 → 3. 陆地工程师远程监控平台状态 → 4. 发现异常时通过6G远程操控机器人处理 → 5. 无法远程处理的问题派人前往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平台运行状态记录完整；安全事故得以预防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数据速率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100 Mbps（平台汇聚）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50 ms（LEO）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可用性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99.9%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A.15 建筑施工现场数字孪生安全管理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建筑施工现场数字孪生安全管理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5.13 数字孪生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建筑施工现场所有人员、机械、物料都在数字孪生中实时映射，AI系统通过分析孪生数据预测安全风险，在事故发生前发出预警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施工人员（可穿戴传感器）、施工机械（传感器）、6G专网、数字孪生安全平台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施工现场完成6G覆盖；所有人员和机械配备传感设备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人员和机械传感器持续采集位置和状态数据 → 2. 数据通过6G同步至数字孪生平台 → 3. AI分析人员与机械的位置关系 → 4. 检测到碰撞风险时立即向人员和操作员发出告警 → 5. 特殊危险区域设置虚拟围栏，越界自动告警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安全事故减少≥70%；安全日志完整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定位精度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0.5 m（室外施工现场）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告警时延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500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连接设备数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数千台（单个施工现场）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A.16 面向大规模XR用户的网络自适应优化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面向大规模XR用户的网络自适应优化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5.4 AI原生与智能网络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当大量用户同时使用XR应用时，6G网络AI系统实时感知每个用户的QoE状态，动态调整资源分配，确保整体服务质量的最优化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XR用户（大量）、6G网络、AI QoE优化引擎、边缘渲染服务器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网络部署AI原生QoE感知和优化框架；边缘服务器支持渲染卸载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AI引擎持续监测每个用户的QoE指标 → 2. 当检测到QoE下降时触发优化 → 3. 智能调度渲染任务（边缘/云端分配） → 4. 动态调整带宽和时延优先级 → 5. 验证优化效果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用户QoE满足目标；资源利用率最优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QoE目标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MOS ≥ 4.5（五分制）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优化响应时间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支持用户数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10,000+ 同时在线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A.17 跨域医疗数据共享与AI诊断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跨域医疗数据共享与AI诊断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A.17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5.11 医疗健康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多家医院通过6G安全通道共享匿名化医学影像数据，共同训练和使用AI诊断模型，提升罕见病和疑难病症的诊断准确率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多家医院（PACS系统）、联邦学习平台、6G安全网络、患者（授权）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各医院已完成数据匿名化处理；患者已授权数据共享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各医院本地训练AI诊断模型 → 2. 通过联邦学习仅共享模型参数 → 3. 中心服务器聚合参数优化全局模型 → 4. 全局模型分发至各医院使用 → 5. 临床医生使用AI辅助诊断疑难病症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诊断准确率提升；患者隐私未被泄露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数据安全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端到端加密；差分隐私；GDPR合规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诊断准确率提升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20%（与单院相比）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100 ms（模型推理）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A.18 沉浸式虚拟体育赛事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沉浸式虚拟体育赛事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A.18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 沉浸式通信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全球观众通过XR终端和全息显示设备，以"置身其中"的方式观看体育赛事，可自由切换视角，甚至以虚拟形式进入赛场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体育赛场（全息采集）、全球观众（XR终端）、6G网络、直播平台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赛场部署全息采集系统；观众具备XR终端或全息显示设备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赛场多角度采集运动员和赛场画面 → 2. 生成可切换视角的全息内容流 → 3. 通过6G网络分发至全球观众 → 4. 观众可自由选择观看视角 → 5. 支持观众虚拟化身进入赛场体验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赛事内容已归档；观众满意度数据已收集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下行速率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10 Gbps（全息多视角流）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50 ms（直播场景）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并发用户数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亿级（CDN加速）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/>
      <w:r>
        <w:rPr>
          <w:rFonts w:ascii="SimSun" w:hAnsi="SimSun" w:eastAsia="SimSun"/>
          <w:b w:val="0"/>
          <w:i/>
          <w:lang w:val="zh-CN" w:eastAsia="zh-CN"/>
        </w:rPr>
        <w:t>（第19–36个用例详细描述见 `part07_附录A用例详情二.md`）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SimSun" w:hAnsi="SimSun" w:eastAsia="SimSun"/>
        <w:sz w:val="22"/>
        <w:szCs w:val="22"/>
        <w:lang w:val="zh-CN" w:eastAsia="zh-C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SimSun" w:hAnsi="SimSun" w:eastAsia="SimSun"/>
      <w:b/>
      <w:bCs/>
      <w:color w:val="365F91" w:themeColor="accent1" w:themeShade="BF"/>
      <w:sz w:val="28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SimSun" w:hAnsi="SimSun" w:eastAsia="SimSun"/>
      <w:b/>
      <w:bCs/>
      <w:color w:val="4F81BD" w:themeColor="accent1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SimSun" w:hAnsi="SimSun" w:eastAsia="SimSun"/>
      <w:b/>
      <w:bCs/>
      <w:color w:val="4F81BD" w:themeColor="accent1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SimSun" w:hAnsi="SimSun" w:eastAsia="SimSun"/>
      <w:b/>
      <w:bCs/>
      <w:i/>
      <w:iCs/>
      <w:color w:val="4F81BD" w:themeColor="accent1"/>
      <w:lang w:val="zh-CN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