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第10册：附录A、附录B与变更历史</w:t>
        <w:br/>
        <w:t>3GPP TR 22.870 V2.0.0 – 6G用例及业务需求研究</w:t>
      </w:r>
    </w:p>
    <w:p/>
    <w:p>
      <w:pPr>
        <w:pStyle w:val="Heading2"/>
      </w:pPr>
      <w:r>
        <w:t>附录A 用例详细描述</w:t>
      </w:r>
    </w:p>
    <w:p>
      <w:pPr>
        <w:pStyle w:val="Heading3"/>
      </w:pPr>
      <w:r>
        <w:t>A.1 沉浸式远程协作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用例名称</w:t>
            </w:r>
          </w:p>
        </w:tc>
        <w:tc>
          <w:tcPr>
            <w:tcW w:type="dxa" w:w="4320"/>
          </w:tcPr>
          <w:p>
            <w:r>
              <w:t>沉浸式远程协作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UC-5.1.2-001</w:t>
            </w:r>
          </w:p>
        </w:tc>
      </w:tr>
      <w:tr>
        <w:tc>
          <w:tcPr>
            <w:tcW w:type="dxa" w:w="4320"/>
          </w:tcPr>
          <w:p>
            <w:r>
              <w:t>所属用例族</w:t>
            </w:r>
          </w:p>
        </w:tc>
        <w:tc>
          <w:tcPr>
            <w:tcW w:type="dxa" w:w="4320"/>
          </w:tcPr>
          <w:p>
            <w:r>
              <w:t>沉浸式通信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分布在全球各地的团队成员通过6G网络在共享虚拟空间中进行实时三维协作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远程协作者（多人）、网络运营商、XR平台提供商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所有参与者配备XR终端设备；网络提供超低时延和超高带宽连接</w:t>
            </w:r>
          </w:p>
        </w:tc>
      </w:tr>
      <w:tr>
        <w:tc>
          <w:tcPr>
            <w:tcW w:type="dxa" w:w="4320"/>
          </w:tcPr>
          <w:p>
            <w:r>
              <w:t>服务流程</w:t>
            </w:r>
          </w:p>
        </w:tc>
        <w:tc>
          <w:tcPr>
            <w:tcW w:type="dxa" w:w="4320"/>
          </w:tcPr>
          <w:p>
            <w:r>
              <w:t>1. 发起协作会话 → 2. 网络建立多方连接 → 3. 终端采集三维和音频数据 → 4. 数据实时传输和同步 → 5. 各端渲染共享虚拟空间 → 6. 支持实时交互和文件共享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协作内容可保存和回放</w:t>
            </w:r>
          </w:p>
        </w:tc>
      </w:tr>
      <w:tr>
        <w:tc>
          <w:tcPr>
            <w:tcW w:type="dxa" w:w="4320"/>
          </w:tcPr>
          <w:p>
            <w:r>
              <w:t>数据速率需求</w:t>
            </w:r>
          </w:p>
        </w:tc>
        <w:tc>
          <w:tcPr>
            <w:tcW w:type="dxa" w:w="4320"/>
          </w:tcPr>
          <w:p>
            <w:r>
              <w:t>≥ 100 Gbps</w:t>
            </w:r>
          </w:p>
        </w:tc>
      </w:tr>
      <w:tr>
        <w:tc>
          <w:tcPr>
            <w:tcW w:type="dxa" w:w="4320"/>
          </w:tcPr>
          <w:p>
            <w:r>
              <w:t>时延需求</w:t>
            </w:r>
          </w:p>
        </w:tc>
        <w:tc>
          <w:tcPr>
            <w:tcW w:type="dxa" w:w="4320"/>
          </w:tcPr>
          <w:p>
            <w:r>
              <w:t>&lt; 1 ms</w:t>
            </w:r>
          </w:p>
        </w:tc>
      </w:tr>
      <w:tr>
        <w:tc>
          <w:tcPr>
            <w:tcW w:type="dxa" w:w="4320"/>
          </w:tcPr>
          <w:p>
            <w:r>
              <w:t>可靠性需求</w:t>
            </w:r>
          </w:p>
        </w:tc>
        <w:tc>
          <w:tcPr>
            <w:tcW w:type="dxa" w:w="4320"/>
          </w:tcPr>
          <w:p>
            <w:r>
              <w:t>99.999%</w:t>
            </w:r>
          </w:p>
        </w:tc>
      </w:tr>
    </w:tbl>
    <w:p/>
    <w:p>
      <w:pPr>
        <w:pStyle w:val="Heading3"/>
      </w:pPr>
      <w:r>
        <w:t>A.2 AI代理分布式协作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用例名称</w:t>
            </w:r>
          </w:p>
        </w:tc>
        <w:tc>
          <w:tcPr>
            <w:tcW w:type="dxa" w:w="4320"/>
          </w:tcPr>
          <w:p>
            <w:r>
              <w:t>AI代理分布式协作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UC-5.4.2-001</w:t>
            </w:r>
          </w:p>
        </w:tc>
      </w:tr>
      <w:tr>
        <w:tc>
          <w:tcPr>
            <w:tcW w:type="dxa" w:w="4320"/>
          </w:tcPr>
          <w:p>
            <w:r>
              <w:t>所属用例族</w:t>
            </w:r>
          </w:p>
        </w:tc>
        <w:tc>
          <w:tcPr>
            <w:tcW w:type="dxa" w:w="4320"/>
          </w:tcPr>
          <w:p>
            <w:r>
              <w:t>AI原生与智能网络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多个AI代理在6G网络中实时协同，自主完成网络资源分配、故障诊断和业务编排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AI代理（多个）、网络管理系统、终端用户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AI代理已部署在网络边缘和云端；网络支持AI代理间的低时延通信</w:t>
            </w:r>
          </w:p>
        </w:tc>
      </w:tr>
      <w:tr>
        <w:tc>
          <w:tcPr>
            <w:tcW w:type="dxa" w:w="4320"/>
          </w:tcPr>
          <w:p>
            <w:r>
              <w:t>服务流程</w:t>
            </w:r>
          </w:p>
        </w:tc>
        <w:tc>
          <w:tcPr>
            <w:tcW w:type="dxa" w:w="4320"/>
          </w:tcPr>
          <w:p>
            <w:r>
              <w:t>1. 监测到网络异常或需求变化 → 2. AI代理互相通信和协商 → 3. 制定优化方案 → 4. 执行资源调整 → 5. 验证效果并反馈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网络性能优化完成，日志记录供审计</w:t>
            </w:r>
          </w:p>
        </w:tc>
      </w:tr>
      <w:tr>
        <w:tc>
          <w:tcPr>
            <w:tcW w:type="dxa" w:w="4320"/>
          </w:tcPr>
          <w:p>
            <w:r>
              <w:t>数据速率需求</w:t>
            </w:r>
          </w:p>
        </w:tc>
        <w:tc>
          <w:tcPr>
            <w:tcW w:type="dxa" w:w="4320"/>
          </w:tcPr>
          <w:p>
            <w:r>
              <w:t>高（取决于AI模型复杂度）</w:t>
            </w:r>
          </w:p>
        </w:tc>
      </w:tr>
      <w:tr>
        <w:tc>
          <w:tcPr>
            <w:tcW w:type="dxa" w:w="4320"/>
          </w:tcPr>
          <w:p>
            <w:r>
              <w:t>时延需求</w:t>
            </w:r>
          </w:p>
        </w:tc>
        <w:tc>
          <w:tcPr>
            <w:tcW w:type="dxa" w:w="4320"/>
          </w:tcPr>
          <w:p>
            <w:r>
              <w:t>&lt; 10 ms</w:t>
            </w:r>
          </w:p>
        </w:tc>
      </w:tr>
      <w:tr>
        <w:tc>
          <w:tcPr>
            <w:tcW w:type="dxa" w:w="4320"/>
          </w:tcPr>
          <w:p>
            <w:r>
              <w:t>可靠性需求</w:t>
            </w:r>
          </w:p>
        </w:tc>
        <w:tc>
          <w:tcPr>
            <w:tcW w:type="dxa" w:w="4320"/>
          </w:tcPr>
          <w:p>
            <w:r>
              <w:t>99.999%</w:t>
            </w:r>
          </w:p>
        </w:tc>
      </w:tr>
    </w:tbl>
    <w:p/>
    <w:p>
      <w:pPr>
        <w:pStyle w:val="Heading3"/>
      </w:pPr>
      <w:r>
        <w:t>A.3 网络请求的车辆服务功能执行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用例名称</w:t>
            </w:r>
          </w:p>
        </w:tc>
        <w:tc>
          <w:tcPr>
            <w:tcW w:type="dxa" w:w="4320"/>
          </w:tcPr>
          <w:p>
            <w:r>
              <w:t>网络请求的车辆服务功能执行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UC-5.8.2-002</w:t>
            </w:r>
          </w:p>
        </w:tc>
      </w:tr>
      <w:tr>
        <w:tc>
          <w:tcPr>
            <w:tcW w:type="dxa" w:w="4320"/>
          </w:tcPr>
          <w:p>
            <w:r>
              <w:t>所属用例族</w:t>
            </w:r>
          </w:p>
        </w:tc>
        <w:tc>
          <w:tcPr>
            <w:tcW w:type="dxa" w:w="4320"/>
          </w:tcPr>
          <w:p>
            <w:r>
              <w:t>车联网服务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网络根据道路状况和交通管理策略，主动请求车辆执行特定服务功能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6G网络、车辆（自动驾驶系统）、交通管理中心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车辆支持网络发起的服务请求协议；网络已获取实时道路状况信息</w:t>
            </w:r>
          </w:p>
        </w:tc>
      </w:tr>
      <w:tr>
        <w:tc>
          <w:tcPr>
            <w:tcW w:type="dxa" w:w="4320"/>
          </w:tcPr>
          <w:p>
            <w:r>
              <w:t>服务流程</w:t>
            </w:r>
          </w:p>
        </w:tc>
        <w:tc>
          <w:tcPr>
            <w:tcW w:type="dxa" w:w="4320"/>
          </w:tcPr>
          <w:p>
            <w:r>
              <w:t>1. 网络检测到交通状况变化 → 2. 交通管理策略评估 → 3. 向相关车辆发送服务请求 → 4. 车辆执行请求（如减速、变道、停车） → 5. 执行结果反馈至网络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交通状况改善，执行记录保存</w:t>
            </w:r>
          </w:p>
        </w:tc>
      </w:tr>
      <w:tr>
        <w:tc>
          <w:tcPr>
            <w:tcW w:type="dxa" w:w="4320"/>
          </w:tcPr>
          <w:p>
            <w:r>
              <w:t>数据速率需求</w:t>
            </w:r>
          </w:p>
        </w:tc>
        <w:tc>
          <w:tcPr>
            <w:tcW w:type="dxa" w:w="4320"/>
          </w:tcPr>
          <w:p>
            <w:r>
              <w:t>中等</w:t>
            </w:r>
          </w:p>
        </w:tc>
      </w:tr>
      <w:tr>
        <w:tc>
          <w:tcPr>
            <w:tcW w:type="dxa" w:w="4320"/>
          </w:tcPr>
          <w:p>
            <w:r>
              <w:t>时延需求</w:t>
            </w:r>
          </w:p>
        </w:tc>
        <w:tc>
          <w:tcPr>
            <w:tcW w:type="dxa" w:w="4320"/>
          </w:tcPr>
          <w:p>
            <w:r>
              <w:t>≤ 1 ms</w:t>
            </w:r>
          </w:p>
        </w:tc>
      </w:tr>
      <w:tr>
        <w:tc>
          <w:tcPr>
            <w:tcW w:type="dxa" w:w="4320"/>
          </w:tcPr>
          <w:p>
            <w:r>
              <w:t>可靠性需求</w:t>
            </w:r>
          </w:p>
        </w:tc>
        <w:tc>
          <w:tcPr>
            <w:tcW w:type="dxa" w:w="4320"/>
          </w:tcPr>
          <w:p>
            <w:r>
              <w:t>99.99999%</w:t>
            </w:r>
          </w:p>
        </w:tc>
      </w:tr>
    </w:tbl>
    <w:p/>
    <w:p>
      <w:pPr>
        <w:pStyle w:val="Heading3"/>
      </w:pPr>
      <w:r>
        <w:t>A.4 灾害搜索与救援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用例名称</w:t>
            </w:r>
          </w:p>
        </w:tc>
        <w:tc>
          <w:tcPr>
            <w:tcW w:type="dxa" w:w="4320"/>
          </w:tcPr>
          <w:p>
            <w:r>
              <w:t>灾害搜索与救援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UC-5.12.2-002</w:t>
            </w:r>
          </w:p>
        </w:tc>
      </w:tr>
      <w:tr>
        <w:tc>
          <w:tcPr>
            <w:tcW w:type="dxa" w:w="4320"/>
          </w:tcPr>
          <w:p>
            <w:r>
              <w:t>所属用例族</w:t>
            </w:r>
          </w:p>
        </w:tc>
        <w:tc>
          <w:tcPr>
            <w:tcW w:type="dxa" w:w="4320"/>
          </w:tcPr>
          <w:p>
            <w:r>
              <w:t>公共安全与关键任务</w:t>
            </w:r>
          </w:p>
        </w:tc>
      </w:tr>
      <w:tr>
        <w:tc>
          <w:tcPr>
            <w:tcW w:type="dxa" w:w="4320"/>
          </w:tcPr>
          <w:p>
            <w:r>
              <w:t>描述</w:t>
            </w:r>
          </w:p>
        </w:tc>
        <w:tc>
          <w:tcPr>
            <w:tcW w:type="dxa" w:w="4320"/>
          </w:tcPr>
          <w:p>
            <w:r>
              <w:t>灾害发生后，利用6G网络的ISAC能力和无人机快速定位被困人员并实施救援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救援人员、无人机群、6G网络（含感知功能）、指挥中心</w:t>
            </w:r>
          </w:p>
        </w:tc>
      </w:tr>
      <w:tr>
        <w:tc>
          <w:tcPr>
            <w:tcW w:type="dxa" w:w="4320"/>
          </w:tcPr>
          <w:p>
            <w:r>
              <w:t>前提条件</w:t>
            </w:r>
          </w:p>
        </w:tc>
        <w:tc>
          <w:tcPr>
            <w:tcW w:type="dxa" w:w="4320"/>
          </w:tcPr>
          <w:p>
            <w:r>
              <w:t>应急6G网络已部署或临时建立；无人机群可用</w:t>
            </w:r>
          </w:p>
        </w:tc>
      </w:tr>
      <w:tr>
        <w:tc>
          <w:tcPr>
            <w:tcW w:type="dxa" w:w="4320"/>
          </w:tcPr>
          <w:p>
            <w:r>
              <w:t>服务流程</w:t>
            </w:r>
          </w:p>
        </w:tc>
        <w:tc>
          <w:tcPr>
            <w:tcW w:type="dxa" w:w="4320"/>
          </w:tcPr>
          <w:p>
            <w:r>
              <w:t>1. 灾害发生后启动应急网络 → 2. 无人机群展开区域搜索 → 3. 6G ISAC功能感知被困人员位置 → 4. 实时视频和感知数据回传指挥中心 → 5. 指挥中心制定救援方案 → 6. 引导救援人员到达目标位置</w:t>
            </w:r>
          </w:p>
        </w:tc>
      </w:tr>
      <w:tr>
        <w:tc>
          <w:tcPr>
            <w:tcW w:type="dxa" w:w="4320"/>
          </w:tcPr>
          <w:p>
            <w:r>
              <w:t>后置条件</w:t>
            </w:r>
          </w:p>
        </w:tc>
        <w:tc>
          <w:tcPr>
            <w:tcW w:type="dxa" w:w="4320"/>
          </w:tcPr>
          <w:p>
            <w:r>
              <w:t>被困人员获救，事件报告生成</w:t>
            </w:r>
          </w:p>
        </w:tc>
      </w:tr>
      <w:tr>
        <w:tc>
          <w:tcPr>
            <w:tcW w:type="dxa" w:w="4320"/>
          </w:tcPr>
          <w:p>
            <w:r>
              <w:t>数据速率需求</w:t>
            </w:r>
          </w:p>
        </w:tc>
        <w:tc>
          <w:tcPr>
            <w:tcW w:type="dxa" w:w="4320"/>
          </w:tcPr>
          <w:p>
            <w:r>
              <w:t>中高</w:t>
            </w:r>
          </w:p>
        </w:tc>
      </w:tr>
      <w:tr>
        <w:tc>
          <w:tcPr>
            <w:tcW w:type="dxa" w:w="4320"/>
          </w:tcPr>
          <w:p>
            <w:r>
              <w:t>时延需求</w:t>
            </w:r>
          </w:p>
        </w:tc>
        <w:tc>
          <w:tcPr>
            <w:tcW w:type="dxa" w:w="4320"/>
          </w:tcPr>
          <w:p>
            <w:r>
              <w:t>&lt; 10 ms</w:t>
            </w:r>
          </w:p>
        </w:tc>
      </w:tr>
      <w:tr>
        <w:tc>
          <w:tcPr>
            <w:tcW w:type="dxa" w:w="4320"/>
          </w:tcPr>
          <w:p>
            <w:r>
              <w:t>可靠性需求</w:t>
            </w:r>
          </w:p>
        </w:tc>
        <w:tc>
          <w:tcPr>
            <w:tcW w:type="dxa" w:w="4320"/>
          </w:tcPr>
          <w:p>
            <w:r>
              <w:t>99.999%</w:t>
            </w:r>
          </w:p>
        </w:tc>
      </w:tr>
    </w:tbl>
    <w:p/>
    <w:p>
      <w:pPr>
        <w:pStyle w:val="Heading2"/>
      </w:pPr>
      <w:r>
        <w:t>附录B 缩略语表</w:t>
      </w:r>
    </w:p>
    <w:p>
      <w:r>
        <w:rPr>
          <w:b w:val="0"/>
          <w:i w:val="0"/>
        </w:rPr>
        <w:t>（完整缩略语表见第3.3节）</w:t>
      </w:r>
    </w:p>
    <w:p>
      <w:pPr>
        <w:pStyle w:val="Heading2"/>
      </w:pPr>
      <w:r>
        <w:t>变更历史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会议编号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变更说明</w:t>
            </w:r>
          </w:p>
        </w:tc>
      </w:tr>
      <w:tr>
        <w:tc>
          <w:tcPr>
            <w:tcW w:type="dxa" w:w="2160"/>
          </w:tcPr>
          <w:p>
            <w:r>
              <w:t>0.1.0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SA1#xx</w:t>
            </w:r>
          </w:p>
        </w:tc>
        <w:tc>
          <w:tcPr>
            <w:tcW w:type="dxa" w:w="2160"/>
          </w:tcPr>
          <w:p>
            <w:r>
              <w:t>初始草案，包含初步用例收集</w:t>
            </w:r>
          </w:p>
        </w:tc>
      </w:tr>
      <w:tr>
        <w:tc>
          <w:tcPr>
            <w:tcW w:type="dxa" w:w="2160"/>
          </w:tcPr>
          <w:p>
            <w:r>
              <w:t>0.2.0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SA1#xx</w:t>
            </w:r>
          </w:p>
        </w:tc>
        <w:tc>
          <w:tcPr>
            <w:tcW w:type="dxa" w:w="2160"/>
          </w:tcPr>
          <w:p>
            <w:r>
              <w:t>增加更多用例和业务需求描述</w:t>
            </w:r>
          </w:p>
        </w:tc>
      </w:tr>
      <w:tr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SA1#xx</w:t>
            </w:r>
          </w:p>
        </w:tc>
        <w:tc>
          <w:tcPr>
            <w:tcW w:type="dxa" w:w="2160"/>
          </w:tcPr>
          <w:p>
            <w:r>
              <w:t>完成第一阶段用例收集和需求分析</w:t>
            </w:r>
          </w:p>
        </w:tc>
      </w:tr>
      <w:tr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SA1#xx</w:t>
            </w:r>
          </w:p>
        </w:tc>
        <w:tc>
          <w:tcPr>
            <w:tcW w:type="dxa" w:w="2160"/>
          </w:tcPr>
          <w:p>
            <w:r>
              <w:t>基于评审意见修改和完善</w:t>
            </w:r>
          </w:p>
        </w:tc>
      </w:tr>
      <w:tr>
        <w:tc>
          <w:tcPr>
            <w:tcW w:type="dxa" w:w="2160"/>
          </w:tcPr>
          <w:p>
            <w:r>
              <w:t>2.0.0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SA1#xx</w:t>
            </w:r>
          </w:p>
        </w:tc>
        <w:tc>
          <w:tcPr>
            <w:tcW w:type="dxa" w:w="2160"/>
          </w:tcPr>
          <w:p>
            <w:r>
              <w:t>提升至V2.0.0，文件进入变更控制状态</w:t>
            </w:r>
          </w:p>
        </w:tc>
      </w:tr>
    </w:tbl>
    <w:p/>
    <w:p>
      <w:pPr>
        <w:pStyle w:val="IntenseQuote"/>
      </w:pPr>
      <w:r>
        <w:t>版权声明： 本翻译文件基于3GPP TR 22.870 V2.0.0技术报告的公开可获取信息编写。原始文档的版权归3GPP及其组织合作伙伴所有。如需获取原文档，请访问：https://www.3gpp.org/ftp/Specs/archive/22_series/22.870/</w:t>
      </w:r>
    </w:p>
    <w:p>
      <w:r>
        <w:rPr>
          <w:b w:val="0"/>
          <w:i w:val="0"/>
        </w:rPr>
        <w:t>&gt;</w:t>
      </w:r>
    </w:p>
    <w:p>
      <w:pPr>
        <w:pStyle w:val="IntenseQuote"/>
      </w:pPr>
      <w:r>
        <w:t>免责声明： 本翻译仅供参考，不构成正式标准文件。如有任何歧义或不一致之处，请以3GPP官方发布的英文原文为准。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