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SimSun"/>
          <w:b/>
          <w:sz w:val="32"/>
          <w:lang w:val="zh-CN" w:eastAsia="zh-CN"/>
        </w:rPr>
        <w:t>第4册：第4章 6G愿景与目标概述</w:t>
        <w:br/>
        <w:t>3GPP TR 22.870 V2.0.0 – 6G用例及业务需求研究</w:t>
      </w:r>
    </w:p>
    <w:p/>
    <w:p>
      <w:pPr>
        <w:pStyle w:val="Heading2"/>
      </w:pPr>
      <w:r>
        <w:rPr>
          <w:rFonts w:eastAsia="SimSun"/>
          <w:b/>
          <w:lang w:val="zh-CN" w:eastAsia="zh-CN"/>
        </w:rPr>
        <w:t>4 6G愿景与目标概述</w:t>
      </w:r>
    </w:p>
    <w:p>
      <w:pPr>
        <w:pStyle w:val="Heading3"/>
      </w:pPr>
      <w:r>
        <w:rPr>
          <w:rFonts w:eastAsia="SimSun"/>
          <w:b/>
          <w:lang w:val="zh-CN" w:eastAsia="zh-CN"/>
        </w:rPr>
        <w:t>4.1 背景</w:t>
      </w:r>
    </w:p>
    <w:p>
      <w:r>
        <w:rPr>
          <w:rFonts w:eastAsia="SimSun"/>
          <w:lang w:val="zh-CN" w:eastAsia="zh-CN"/>
        </w:rPr>
        <w:t>随着5G系统的全球商用部署和5G-Advanced（Release 18-20）的持续演进，业界已开始关注下一代移动通信技术——6G的发展方向。6G预计于2030年前后实现商用，将在5G的基础上实现全面升级与革命性创新。</w:t>
      </w:r>
    </w:p>
    <w:p>
      <w:r>
        <w:rPr>
          <w:rFonts w:eastAsia="SimSun"/>
          <w:lang w:val="zh-CN" w:eastAsia="zh-CN"/>
        </w:rPr>
        <w:t>3GPP作为全球移动通信标准的主要制定组织，启动了TR 22.870技术报告的研究工作，作为6G标准化工作的第一阶段（Stage 1）输入，旨在系统化地收集和分析6G系统可能面临的新型用例场景和相应的业务需求。</w:t>
      </w:r>
    </w:p>
    <w:p>
      <w:r>
        <w:rPr>
          <w:rFonts w:eastAsia="SimSun"/>
          <w:lang w:val="zh-CN" w:eastAsia="zh-CN"/>
        </w:rPr>
        <w:t>本报告由SA1工作组牵头开展，征集了来自全球运营商、设备制造商、芯片厂商、垂直行业合作伙伴以及学术研究机构的广泛输入。截至本版本（V2.0.0），报告已处于变更控制（change control）状态，意味着文件内容已基本稳定，后续更新将通过正式变更请求（CR）进行。</w:t>
      </w:r>
    </w:p>
    <w:p>
      <w:pPr>
        <w:pStyle w:val="Heading3"/>
      </w:pPr>
      <w:r>
        <w:rPr>
          <w:rFonts w:eastAsia="SimSun"/>
          <w:b/>
          <w:lang w:val="zh-CN" w:eastAsia="zh-CN"/>
        </w:rPr>
        <w:t>4.2 6G关键能力与趋势</w:t>
      </w:r>
    </w:p>
    <w:p>
      <w:r>
        <w:rPr>
          <w:rFonts w:eastAsia="SimSun"/>
          <w:lang w:val="zh-CN" w:eastAsia="zh-CN"/>
        </w:rPr>
        <w:t>基于全球行业共识和ITU IMT-2030框架的指导，6G系统预期将具备以下关键能力和发展趋势：</w:t>
      </w:r>
    </w:p>
    <w:p>
      <w:r>
        <w:rPr>
          <w:rFonts w:eastAsia="SimSun"/>
          <w:lang w:val="zh-CN" w:eastAsia="zh-CN"/>
        </w:rPr>
      </w:r>
      <w:r>
        <w:rPr>
          <w:rFonts w:eastAsia="SimSun"/>
          <w:b/>
          <w:lang w:val="zh-CN" w:eastAsia="zh-CN"/>
        </w:rPr>
        <w:t>1. 极致性能指标</w:t>
      </w:r>
      <w:r>
        <w:rPr>
          <w:rFonts w:eastAsia="SimSun"/>
          <w:lang w:val="zh-CN" w:eastAsia="zh-CN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eastAsia="SimSun"/>
                <w:b/>
                <w:lang w:val="zh-CN" w:eastAsia="zh-CN"/>
              </w:rPr>
              <w:t>性能指标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b/>
                <w:lang w:val="zh-CN" w:eastAsia="zh-CN"/>
              </w:rPr>
              <w:t>5G目标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b/>
                <w:lang w:val="zh-CN" w:eastAsia="zh-CN"/>
              </w:rPr>
              <w:t>6G目标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  <w:lang w:val="zh-CN" w:eastAsia="zh-CN"/>
              </w:rPr>
              <w:t>峰值数据速率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lang w:val="zh-CN" w:eastAsia="zh-CN"/>
              </w:rPr>
              <w:t>20 Gbps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lang w:val="zh-CN" w:eastAsia="zh-CN"/>
              </w:rPr>
              <w:t>1 Tbps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  <w:lang w:val="zh-CN" w:eastAsia="zh-CN"/>
              </w:rPr>
              <w:t>用户体验速率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lang w:val="zh-CN" w:eastAsia="zh-CN"/>
              </w:rPr>
              <w:t>100 Mbps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lang w:val="zh-CN" w:eastAsia="zh-CN"/>
              </w:rPr>
              <w:t>1 Gbps+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  <w:lang w:val="zh-CN" w:eastAsia="zh-CN"/>
              </w:rPr>
              <w:t>端到端时延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lang w:val="zh-CN" w:eastAsia="zh-CN"/>
              </w:rPr>
              <w:t>1 ms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lang w:val="zh-CN" w:eastAsia="zh-CN"/>
              </w:rPr>
              <w:t>0.1 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  <w:lang w:val="zh-CN" w:eastAsia="zh-CN"/>
              </w:rPr>
              <w:t>可靠性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lang w:val="zh-CN" w:eastAsia="zh-CN"/>
              </w:rPr>
              <w:t>99.999%（五个9）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lang w:val="zh-CN" w:eastAsia="zh-CN"/>
              </w:rPr>
              <w:t>99.99999%（七个9）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  <w:lang w:val="zh-CN" w:eastAsia="zh-CN"/>
              </w:rPr>
              <w:t>连接密度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lang w:val="zh-CN" w:eastAsia="zh-CN"/>
              </w:rPr>
              <w:t>100万设备/km²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lang w:val="zh-CN" w:eastAsia="zh-CN"/>
              </w:rPr>
              <w:t>1000万设备/km²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  <w:lang w:val="zh-CN" w:eastAsia="zh-CN"/>
              </w:rPr>
              <w:t>能效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lang w:val="zh-CN" w:eastAsia="zh-CN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lang w:val="zh-CN" w:eastAsia="zh-CN"/>
              </w:rPr>
              <w:t>相比5G提升100倍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  <w:lang w:val="zh-CN" w:eastAsia="zh-CN"/>
              </w:rPr>
              <w:t>频谱效率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lang w:val="zh-CN" w:eastAsia="zh-CN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lang w:val="zh-CN" w:eastAsia="zh-CN"/>
              </w:rPr>
              <w:t>相比5G提升3-5倍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eastAsia="SimSun"/>
                <w:lang w:val="zh-CN" w:eastAsia="zh-CN"/>
              </w:rPr>
              <w:t>移动速度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lang w:val="zh-CN" w:eastAsia="zh-CN"/>
              </w:rPr>
              <w:t>500 km/h</w:t>
            </w:r>
          </w:p>
        </w:tc>
        <w:tc>
          <w:tcPr>
            <w:tcW w:type="dxa" w:w="2880"/>
          </w:tcPr>
          <w:p>
            <w:r/>
            <w:r>
              <w:rPr>
                <w:rFonts w:eastAsia="SimSun"/>
                <w:lang w:val="zh-CN" w:eastAsia="zh-CN"/>
              </w:rPr>
              <w:t>1000 km/h+</w:t>
            </w:r>
          </w:p>
        </w:tc>
      </w:tr>
    </w:tbl>
    <w:p>
      <w:r>
        <w:rPr>
          <w:rFonts w:eastAsia="SimSun"/>
          <w:lang w:val="zh-CN" w:eastAsia="zh-CN"/>
        </w:rPr>
      </w:r>
      <w:r>
        <w:rPr>
          <w:rFonts w:eastAsia="SimSun"/>
          <w:b/>
          <w:lang w:val="zh-CN" w:eastAsia="zh-CN"/>
        </w:rPr>
        <w:t>2. 新型能力维度</w:t>
      </w:r>
      <w:r>
        <w:rPr>
          <w:rFonts w:eastAsia="SimSun"/>
          <w:lang w:val="zh-CN" w:eastAsia="zh-CN"/>
        </w:rPr>
      </w:r>
    </w:p>
    <w:p>
      <w:pPr>
        <w:pStyle w:val="ListBullet"/>
      </w:pPr>
      <w:r>
        <w:rPr>
          <w:rFonts w:eastAsia="SimSun"/>
          <w:lang w:val="zh-CN" w:eastAsia="zh-CN"/>
        </w:rPr>
        <w:t>AI原生（AI-native）： AI/ML将从5G中的增强功能升级为6G网络的固有能力，贯穿网络设计、部署、运营和优化全生命周期。</w:t>
      </w:r>
    </w:p>
    <w:p>
      <w:pPr>
        <w:pStyle w:val="ListBullet"/>
      </w:pPr>
      <w:r>
        <w:rPr>
          <w:rFonts w:eastAsia="SimSun"/>
          <w:lang w:val="zh-CN" w:eastAsia="zh-CN"/>
        </w:rPr>
        <w:t>通信感知一体化（ISAC）： 网络将具备"感知"周围环境的能力，在通信的同时实现雷达、定位、环境感知等功能。</w:t>
      </w:r>
    </w:p>
    <w:p>
      <w:pPr>
        <w:pStyle w:val="ListBullet"/>
      </w:pPr>
      <w:r>
        <w:rPr>
          <w:rFonts w:eastAsia="SimSun"/>
          <w:lang w:val="zh-CN" w:eastAsia="zh-CN"/>
        </w:rPr>
        <w:t>全球无缝覆盖： 通过天地一体化（NTN）网络，实现地面、海洋、空中和太空的无缝连接。</w:t>
      </w:r>
    </w:p>
    <w:p>
      <w:pPr>
        <w:pStyle w:val="ListBullet"/>
      </w:pPr>
      <w:r>
        <w:rPr>
          <w:rFonts w:eastAsia="SimSun"/>
          <w:lang w:val="zh-CN" w:eastAsia="zh-CN"/>
        </w:rPr>
        <w:t>超高能效与可持续性： 6G将把绿色和可持续发展作为核心设计原则，支持零能耗设备和极低功耗网络运行。</w:t>
      </w:r>
    </w:p>
    <w:p>
      <w:pPr>
        <w:pStyle w:val="ListBullet"/>
      </w:pPr>
      <w:r>
        <w:rPr>
          <w:rFonts w:eastAsia="SimSun"/>
          <w:lang w:val="zh-CN" w:eastAsia="zh-CN"/>
        </w:rPr>
        <w:t>安全与可信： 6G将引入后量子密码学等先进安全技术，确保网络在量子计算时代的安全性。</w:t>
      </w:r>
    </w:p>
    <w:p>
      <w:pPr>
        <w:pStyle w:val="ListBullet"/>
      </w:pPr>
      <w:r>
        <w:rPr>
          <w:rFonts w:eastAsia="SimSun"/>
          <w:lang w:val="zh-CN" w:eastAsia="zh-CN"/>
        </w:rPr>
        <w:t>确定性通信： 支持端到端确定性时延和抖动控制，满足工业控制等关键任务场景需求。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sz w:val="22"/>
        <w:szCs w:val="22"/>
        <w:lang w:val="zh-C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