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color w:val="666666"/>
          <w:sz w:val="20"/>
          <w:szCs w:val="20"/>
        </w:rPr>
        <w:t xml:space="preserve">PRÉSENTATION DU PROJET</w:t>
      </w:r>
    </w:p>
    <w:p>
      <w:pPr>
        <w:spacing w:after="80" w:before="0"/>
        <w:jc w:val="center"/>
      </w:pPr>
      <w:r>
        <w:rPr>
          <w:rFonts w:ascii="Arial" w:cs="Arial" w:eastAsia="Arial" w:hAnsi="Arial"/>
          <w:b/>
          <w:bCs/>
          <w:color w:val="111111"/>
          <w:sz w:val="56"/>
          <w:szCs w:val="56"/>
        </w:rPr>
        <w:t xml:space="preserve">EduTwin</w:t>
      </w:r>
    </w:p>
    <w:p>
      <w:pPr>
        <w:spacing w:after="60" w:before="0"/>
        <w:jc w:val="center"/>
      </w:pPr>
      <w:r>
        <w:rPr>
          <w:rFonts w:ascii="Arial" w:cs="Arial" w:eastAsia="Arial" w:hAnsi="Arial"/>
          <w:i/>
          <w:iCs/>
          <w:color w:val="555555"/>
          <w:sz w:val="22"/>
          <w:szCs w:val="22"/>
        </w:rPr>
        <w:t xml:space="preserve">Assistant intelligent de gestion de TP d'informatique en lycée</w:t>
      </w:r>
    </w:p>
    <w:p>
      <w:pPr>
        <w:pBdr>
          <w:bottom w:val="single" w:color="AAAAAA" w:sz="6" w:space="10"/>
        </w:pBdr>
        <w:spacing w:after="240" w:before="0"/>
        <w:jc w:val="center"/>
      </w:pPr>
      <w:r>
        <w:rPr>
          <w:rFonts w:ascii="Arial" w:cs="Arial" w:eastAsia="Arial" w:hAnsi="Arial"/>
          <w:color w:val="888888"/>
          <w:sz w:val="20"/>
          <w:szCs w:val="20"/>
        </w:rPr>
        <w:t xml:space="preserve">Modèle local · Réseau LAN · Hors connexion · Contexte camerounais</w:t>
      </w:r>
    </w:p>
    <w:p>
      <w:pPr>
        <w:pStyle w:val="Heading1"/>
        <w:pBdr>
          <w:bottom w:val="single" w:color="333333" w:sz="8" w:space="4"/>
        </w:pBdr>
        <w:spacing w:after="180" w:before="320"/>
      </w:pPr>
      <w:r>
        <w:rPr>
          <w:rFonts w:ascii="Arial" w:cs="Arial" w:eastAsia="Arial" w:hAnsi="Arial"/>
          <w:b/>
          <w:bCs/>
          <w:color w:val="1A1A1A"/>
          <w:sz w:val="28"/>
          <w:szCs w:val="28"/>
        </w:rPr>
        <w:t xml:space="preserve">1.  Problème cible</w:t>
      </w:r>
    </w:p>
    <w:p>
      <w:pPr>
        <w:spacing w:after="60" w:before="60" w:line="276" w:lineRule="auto"/>
      </w:pPr>
      <w:r>
        <w:rPr>
          <w:rFonts w:ascii="Arial" w:cs="Arial" w:eastAsia="Arial" w:hAnsi="Arial"/>
          <w:color w:val="1A1A1A"/>
          <w:sz w:val="22"/>
          <w:szCs w:val="22"/>
        </w:rPr>
        <w:t xml:space="preserve">Les séances de travaux pratiques (TP) d'informatique dans les lycées camerounais sont confrontées à une triple contrainte structurelle qui compromet sérieusement la qualité de l'apprentissage.</w:t>
      </w:r>
    </w:p>
    <w:p>
      <w:pPr>
        <w:spacing w:after="0" w:before="80"/>
      </w:pPr>
    </w:p>
    <w:p>
      <w:pPr>
        <w:pStyle w:val="Heading2"/>
        <w:spacing w:after="100" w:before="240"/>
      </w:pPr>
      <w:r>
        <w:rPr>
          <w:rFonts w:ascii="Arial" w:cs="Arial" w:eastAsia="Arial" w:hAnsi="Arial"/>
          <w:b/>
          <w:bCs/>
          <w:color w:val="333333"/>
          <w:sz w:val="24"/>
          <w:szCs w:val="24"/>
        </w:rPr>
        <w:t xml:space="preserve">1.1  Surcharge humaine et matérielle</w:t>
      </w:r>
    </w:p>
    <w:p>
      <w:pPr>
        <w:spacing w:after="60" w:before="60" w:line="276" w:lineRule="auto"/>
      </w:pPr>
      <w:r>
        <w:rPr>
          <w:rFonts w:ascii="Arial" w:cs="Arial" w:eastAsia="Arial" w:hAnsi="Arial"/>
          <w:color w:val="1A1A1A"/>
          <w:sz w:val="22"/>
          <w:szCs w:val="22"/>
        </w:rPr>
        <w:t xml:space="preserve">Une salle d'informatique typique regroupe jusqu'à 50 élèves pour seulement 20 postes opérationnels, soit un ratio de 2 à 3 élèves par machine. L'enseignant, seul référent technique présent, est dans l'impossibilité physique d'assurer un accompagnement individuel. Les élèves bloqués restent sans aide, tandis que les plus avancés progressent sans approfondissement.</w:t>
      </w:r>
    </w:p>
    <w:p>
      <w:pPr>
        <w:spacing w:after="0" w:before="60"/>
      </w:pPr>
    </w:p>
    <w:p>
      <w:pPr>
        <w:pStyle w:val="ListParagraph"/>
        <w:numPr>
          <w:ilvl w:val="0"/>
          <w:numId w:val="2"/>
        </w:numPr>
        <w:spacing w:after="55" w:before="55" w:line="276" w:lineRule="auto"/>
      </w:pPr>
      <w:r>
        <w:rPr>
          <w:rFonts w:ascii="Arial" w:cs="Arial" w:eastAsia="Arial" w:hAnsi="Arial"/>
          <w:color w:val="1A1A1A"/>
          <w:sz w:val="22"/>
          <w:szCs w:val="22"/>
        </w:rPr>
        <w:t xml:space="preserve">Ratio élèves/machines souvent supérieur à 2 pour 1</w:t>
      </w:r>
    </w:p>
    <w:p>
      <w:pPr>
        <w:pStyle w:val="ListParagraph"/>
        <w:numPr>
          <w:ilvl w:val="0"/>
          <w:numId w:val="2"/>
        </w:numPr>
        <w:spacing w:after="55" w:before="55" w:line="276" w:lineRule="auto"/>
      </w:pPr>
      <w:r>
        <w:rPr>
          <w:rFonts w:ascii="Arial" w:cs="Arial" w:eastAsia="Arial" w:hAnsi="Arial"/>
          <w:color w:val="1A1A1A"/>
          <w:sz w:val="22"/>
          <w:szCs w:val="22"/>
        </w:rPr>
        <w:t xml:space="preserve">Un seul enseignant pour 40 à 80 élèves simultanément</w:t>
      </w:r>
    </w:p>
    <w:p>
      <w:pPr>
        <w:pStyle w:val="ListParagraph"/>
        <w:numPr>
          <w:ilvl w:val="0"/>
          <w:numId w:val="2"/>
        </w:numPr>
        <w:spacing w:after="55" w:before="55" w:line="276" w:lineRule="auto"/>
      </w:pPr>
      <w:r>
        <w:rPr>
          <w:rFonts w:ascii="Arial" w:cs="Arial" w:eastAsia="Arial" w:hAnsi="Arial"/>
          <w:color w:val="1A1A1A"/>
          <w:sz w:val="22"/>
          <w:szCs w:val="22"/>
        </w:rPr>
        <w:t xml:space="preserve">Temps de séance insuffisant pour couvrir les objectifs fixés</w:t>
      </w:r>
    </w:p>
    <w:p>
      <w:pPr>
        <w:spacing w:after="0" w:before="80"/>
      </w:pPr>
    </w:p>
    <w:p>
      <w:pPr>
        <w:pStyle w:val="Heading2"/>
        <w:spacing w:after="100" w:before="240"/>
      </w:pPr>
      <w:r>
        <w:rPr>
          <w:rFonts w:ascii="Arial" w:cs="Arial" w:eastAsia="Arial" w:hAnsi="Arial"/>
          <w:b/>
          <w:bCs/>
          <w:color w:val="333333"/>
          <w:sz w:val="24"/>
          <w:szCs w:val="24"/>
        </w:rPr>
        <w:t xml:space="preserve">1.2  Absence de suivi personnalisé</w:t>
      </w:r>
    </w:p>
    <w:p>
      <w:pPr>
        <w:spacing w:after="60" w:before="60" w:line="276" w:lineRule="auto"/>
      </w:pPr>
      <w:r>
        <w:rPr>
          <w:rFonts w:ascii="Arial" w:cs="Arial" w:eastAsia="Arial" w:hAnsi="Arial"/>
          <w:color w:val="1A1A1A"/>
          <w:sz w:val="22"/>
          <w:szCs w:val="22"/>
        </w:rPr>
        <w:t xml:space="preserve">Sans outil de suivi, l'enseignant n'a aucune visibilité en temps réel sur l'avancement individuel de chaque élève. Il lui est impossible de savoir qui est bloqué, à quelle étape et pourquoi. À l'issue de la séance, il ne reste généralement aucune trace exploitable de ce que chaque élève a accompli.</w:t>
      </w:r>
    </w:p>
    <w:p>
      <w:pPr>
        <w:spacing w:after="0" w:before="60"/>
      </w:pPr>
    </w:p>
    <w:p>
      <w:pPr>
        <w:pStyle w:val="ListParagraph"/>
        <w:numPr>
          <w:ilvl w:val="0"/>
          <w:numId w:val="2"/>
        </w:numPr>
        <w:spacing w:after="55" w:before="55" w:line="276" w:lineRule="auto"/>
      </w:pPr>
      <w:r>
        <w:rPr>
          <w:rFonts w:ascii="Arial" w:cs="Arial" w:eastAsia="Arial" w:hAnsi="Arial"/>
          <w:color w:val="1A1A1A"/>
          <w:sz w:val="22"/>
          <w:szCs w:val="22"/>
        </w:rPr>
        <w:t xml:space="preserve">Aucune visibilité sur la progression élève par élève</w:t>
      </w:r>
    </w:p>
    <w:p>
      <w:pPr>
        <w:pStyle w:val="ListParagraph"/>
        <w:numPr>
          <w:ilvl w:val="0"/>
          <w:numId w:val="2"/>
        </w:numPr>
        <w:spacing w:after="55" w:before="55" w:line="276" w:lineRule="auto"/>
      </w:pPr>
      <w:r>
        <w:rPr>
          <w:rFonts w:ascii="Arial" w:cs="Arial" w:eastAsia="Arial" w:hAnsi="Arial"/>
          <w:color w:val="1A1A1A"/>
          <w:sz w:val="22"/>
          <w:szCs w:val="22"/>
        </w:rPr>
        <w:t xml:space="preserve">Élèves en difficulté qui restent passifs plutôt que de demander de l'aide</w:t>
      </w:r>
    </w:p>
    <w:p>
      <w:pPr>
        <w:pStyle w:val="ListParagraph"/>
        <w:numPr>
          <w:ilvl w:val="0"/>
          <w:numId w:val="2"/>
        </w:numPr>
        <w:spacing w:after="55" w:before="55" w:line="276" w:lineRule="auto"/>
      </w:pPr>
      <w:r>
        <w:rPr>
          <w:rFonts w:ascii="Arial" w:cs="Arial" w:eastAsia="Arial" w:hAnsi="Arial"/>
          <w:color w:val="1A1A1A"/>
          <w:sz w:val="22"/>
          <w:szCs w:val="22"/>
        </w:rPr>
        <w:t xml:space="preserve">Absence de données permettant d'identifier les points de blocage récurrents</w:t>
      </w:r>
    </w:p>
    <w:p>
      <w:pPr>
        <w:spacing w:after="0" w:before="80"/>
      </w:pPr>
    </w:p>
    <w:p>
      <w:pPr>
        <w:pStyle w:val="Heading2"/>
        <w:spacing w:after="100" w:before="240"/>
      </w:pPr>
      <w:r>
        <w:rPr>
          <w:rFonts w:ascii="Arial" w:cs="Arial" w:eastAsia="Arial" w:hAnsi="Arial"/>
          <w:b/>
          <w:bCs/>
          <w:color w:val="333333"/>
          <w:sz w:val="24"/>
          <w:szCs w:val="24"/>
        </w:rPr>
        <w:t xml:space="preserve">1.3  Indisponibilité de la connexion Internet</w:t>
      </w:r>
    </w:p>
    <w:p>
      <w:pPr>
        <w:spacing w:after="60" w:before="60" w:line="276" w:lineRule="auto"/>
      </w:pPr>
      <w:r>
        <w:rPr>
          <w:rFonts w:ascii="Arial" w:cs="Arial" w:eastAsia="Arial" w:hAnsi="Arial"/>
          <w:color w:val="1A1A1A"/>
          <w:sz w:val="22"/>
          <w:szCs w:val="22"/>
        </w:rPr>
        <w:t xml:space="preserve">La quasi-totalité des salles d'informatique des lycées publics camerounais ne dispose pas d'une connexion Internet stable. Les outils pédagogiques numériques disponibles (assistants IA en ligne, plateformes e-learning) sont donc inutilisables dans ce contexte. Toute solution viable doit fonctionner entièrement hors ligne.</w:t>
      </w:r>
    </w:p>
    <w:p>
      <w:pPr>
        <w:spacing w:after="0" w:before="60"/>
      </w:pPr>
    </w:p>
    <w:p>
      <w:pPr>
        <w:pStyle w:val="ListParagraph"/>
        <w:numPr>
          <w:ilvl w:val="0"/>
          <w:numId w:val="2"/>
        </w:numPr>
        <w:spacing w:after="55" w:before="55" w:line="276" w:lineRule="auto"/>
      </w:pPr>
      <w:r>
        <w:rPr>
          <w:rFonts w:ascii="Arial" w:cs="Arial" w:eastAsia="Arial" w:hAnsi="Arial"/>
          <w:color w:val="1A1A1A"/>
          <w:sz w:val="22"/>
          <w:szCs w:val="22"/>
        </w:rPr>
        <w:t xml:space="preserve">Absence de connexion Internet dans la majorité des établissements cibles</w:t>
      </w:r>
    </w:p>
    <w:p>
      <w:pPr>
        <w:pStyle w:val="ListParagraph"/>
        <w:numPr>
          <w:ilvl w:val="0"/>
          <w:numId w:val="2"/>
        </w:numPr>
        <w:spacing w:after="55" w:before="55" w:line="276" w:lineRule="auto"/>
      </w:pPr>
      <w:r>
        <w:rPr>
          <w:rFonts w:ascii="Arial" w:cs="Arial" w:eastAsia="Arial" w:hAnsi="Arial"/>
          <w:color w:val="1A1A1A"/>
          <w:sz w:val="22"/>
          <w:szCs w:val="22"/>
        </w:rPr>
        <w:t xml:space="preserve">Les outils IA commerciaux nécessitent une connectivité permanente</w:t>
      </w:r>
    </w:p>
    <w:p>
      <w:pPr>
        <w:pStyle w:val="ListParagraph"/>
        <w:numPr>
          <w:ilvl w:val="0"/>
          <w:numId w:val="2"/>
        </w:numPr>
        <w:spacing w:after="55" w:before="55" w:line="276" w:lineRule="auto"/>
      </w:pPr>
      <w:r>
        <w:rPr>
          <w:rFonts w:ascii="Arial" w:cs="Arial" w:eastAsia="Arial" w:hAnsi="Arial"/>
          <w:color w:val="1A1A1A"/>
          <w:sz w:val="22"/>
          <w:szCs w:val="22"/>
        </w:rPr>
        <w:t xml:space="preserve">Aucun recours possible aux ressources en ligne en cours de séance</w:t>
      </w:r>
    </w:p>
    <w:p>
      <w:pPr>
        <w:spacing w:after="0" w:before="140"/>
      </w:pPr>
    </w:p>
    <w:p>
      <w:pPr>
        <w:pStyle w:val="Heading1"/>
        <w:pBdr>
          <w:bottom w:val="single" w:color="333333" w:sz="8" w:space="4"/>
        </w:pBdr>
        <w:spacing w:after="180" w:before="320"/>
      </w:pPr>
      <w:r>
        <w:rPr>
          <w:rFonts w:ascii="Arial" w:cs="Arial" w:eastAsia="Arial" w:hAnsi="Arial"/>
          <w:b/>
          <w:bCs/>
          <w:color w:val="1A1A1A"/>
          <w:sz w:val="28"/>
          <w:szCs w:val="28"/>
        </w:rPr>
        <w:t xml:space="preserve">2.  Solution proposée : EduTwin</w:t>
      </w:r>
    </w:p>
    <w:p>
      <w:pPr>
        <w:spacing w:after="60" w:before="60" w:line="276" w:lineRule="auto"/>
      </w:pPr>
      <w:r>
        <w:rPr>
          <w:rFonts w:ascii="Arial" w:cs="Arial" w:eastAsia="Arial" w:hAnsi="Arial"/>
          <w:color w:val="1A1A1A"/>
          <w:sz w:val="22"/>
          <w:szCs w:val="22"/>
        </w:rPr>
        <w:t xml:space="preserve">EduTwin est un assistant intelligent de gestion de TP d'informatique, conçu spécifiquement pour les lycées camerounais. Il fonctionne entièrement en local, sur le réseau LAN de la salle, sans aucune connexion Internet, en s'appuyant sur un modèle de langage (LLM) déployé sur la machine de l'enseignant.</w:t>
      </w:r>
    </w:p>
    <w:p>
      <w:pPr>
        <w:spacing w:after="0" w:before="80"/>
      </w:pPr>
    </w:p>
    <w:p>
      <w:pPr>
        <w:spacing w:after="60" w:before="60" w:line="276" w:lineRule="auto"/>
      </w:pPr>
      <w:r>
        <w:rPr>
          <w:rFonts w:ascii="Arial" w:cs="Arial" w:eastAsia="Arial" w:hAnsi="Arial"/>
          <w:color w:val="1A1A1A"/>
          <w:sz w:val="22"/>
          <w:szCs w:val="22"/>
        </w:rPr>
        <w:t xml:space="preserve">La proposition de valeur d'EduTwin repose sur trois piliers :</w:t>
      </w:r>
    </w:p>
    <w:p>
      <w:pPr>
        <w:spacing w:after="0" w:before="60"/>
      </w:pPr>
    </w:p>
    <w:p>
      <w:pPr>
        <w:pStyle w:val="ListParagraph"/>
        <w:numPr>
          <w:ilvl w:val="0"/>
          <w:numId w:val="2"/>
        </w:numPr>
        <w:spacing w:after="55" w:before="55" w:line="276" w:lineRule="auto"/>
      </w:pPr>
      <w:r>
        <w:rPr>
          <w:rFonts w:ascii="Arial" w:cs="Arial" w:eastAsia="Arial" w:hAnsi="Arial"/>
          <w:color w:val="1A1A1A"/>
          <w:sz w:val="22"/>
          <w:szCs w:val="22"/>
        </w:rPr>
        <w:t xml:space="preserve">Un suivi individualisé de chaque élève, accessible à l'enseignant en temps réel depuis son tableau de bord</w:t>
      </w:r>
    </w:p>
    <w:p>
      <w:pPr>
        <w:pStyle w:val="ListParagraph"/>
        <w:numPr>
          <w:ilvl w:val="0"/>
          <w:numId w:val="2"/>
        </w:numPr>
        <w:spacing w:after="55" w:before="55" w:line="276" w:lineRule="auto"/>
      </w:pPr>
      <w:r>
        <w:rPr>
          <w:rFonts w:ascii="Arial" w:cs="Arial" w:eastAsia="Arial" w:hAnsi="Arial"/>
          <w:color w:val="1A1A1A"/>
          <w:sz w:val="22"/>
          <w:szCs w:val="22"/>
        </w:rPr>
        <w:t xml:space="preserve">Un assistant IA contextuel pour les élèves, ancré dans les documents officiels du TP importés par l'enseignant</w:t>
      </w:r>
    </w:p>
    <w:p>
      <w:pPr>
        <w:pStyle w:val="ListParagraph"/>
        <w:numPr>
          <w:ilvl w:val="0"/>
          <w:numId w:val="2"/>
        </w:numPr>
        <w:spacing w:after="55" w:before="55" w:line="276" w:lineRule="auto"/>
      </w:pPr>
      <w:r>
        <w:rPr>
          <w:rFonts w:ascii="Arial" w:cs="Arial" w:eastAsia="Arial" w:hAnsi="Arial"/>
          <w:color w:val="1A1A1A"/>
          <w:sz w:val="22"/>
          <w:szCs w:val="22"/>
        </w:rPr>
        <w:t xml:space="preserve">Un fonctionnement 100 % hors ligne sur réseau LAN local, sans dépendance à une infrastructure Internet</w:t>
      </w:r>
    </w:p>
    <w:p>
      <w:pPr>
        <w:spacing w:after="0" w:before="80"/>
      </w:pPr>
    </w:p>
    <w:p>
      <w:pPr>
        <w:spacing w:after="60" w:before="60" w:line="276" w:lineRule="auto"/>
      </w:pPr>
      <w:r>
        <w:rPr>
          <w:rFonts w:ascii="Arial" w:cs="Arial" w:eastAsia="Arial" w:hAnsi="Arial"/>
          <w:color w:val="1A1A1A"/>
          <w:sz w:val="22"/>
          <w:szCs w:val="22"/>
        </w:rPr>
        <w:t xml:space="preserve">EduTwin n'est pas un outil généraliste : le modèle IA est guidé exclusivement par les documents que l'enseignant importe lui-même (fiche de TP, objectifs pédagogiques, consignes). L'assistant ne répond pas arbitrairement — il oriente l'élève en cohérence stricte avec ce que l'enseignant a prévu pour la séance.</w:t>
      </w:r>
    </w:p>
    <w:p>
      <w:pPr>
        <w:spacing w:after="0" w:before="80"/>
      </w:pPr>
    </w:p>
    <w:p>
      <w:pPr>
        <w:spacing w:after="60" w:before="60" w:line="276" w:lineRule="auto"/>
      </w:pPr>
      <w:r>
        <w:rPr>
          <w:rFonts w:ascii="Arial" w:cs="Arial" w:eastAsia="Arial" w:hAnsi="Arial"/>
          <w:color w:val="1A1A1A"/>
          <w:sz w:val="22"/>
          <w:szCs w:val="22"/>
        </w:rPr>
        <w:t xml:space="preserve">Précision importante : EduTwin n'est ni un traitement de texte, ni un environnement de développement (IDE), ni un substitut aux logiciels habituellement utilisés en TP (Word, Dev-C++, etc.). L'élève continue de travailler normalement dans ses outils existants. EduTwin fonctionne en parallèle, comme une couche de guidage et de suivi : l'élève y consulte les consignes de chaque tâche, y pose ses questions à l'assistant IA, et y indique manuellement quand une tâche est terminée. Aucune correction ou exécution automatique du travail produit n'est effectuée par EduTwin — la validation reste sous le contrôle de l'élève et de l'enseignant. Cette approche réduit la friction d'adoption : aucun changement d'outils n'est requis dans les établissements.</w:t>
      </w:r>
    </w:p>
    <w:p>
      <w:pPr>
        <w:spacing w:after="0" w:before="200"/>
      </w:pPr>
    </w:p>
    <w:p>
      <w:pPr>
        <w:pBdr>
          <w:top w:val="single" w:color="CCCCCC" w:sz="4" w:space="10"/>
        </w:pBdr>
        <w:spacing w:after="0" w:before="0"/>
        <w:jc w:val="center"/>
      </w:pPr>
      <w:r>
        <w:rPr>
          <w:rFonts w:ascii="Arial" w:cs="Arial" w:eastAsia="Arial" w:hAnsi="Arial"/>
          <w:color w:val="AAAAAA"/>
          <w:sz w:val="18"/>
          <w:szCs w:val="18"/>
        </w:rPr>
        <w:t xml:space="preserve">EduTwin  ·  EdTech Day Yaoundé 2026  ·  Hackathon Concours A  ·  ENS Yaoundé I</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Arial" w:cs="Arial" w:eastAsia="Arial" w:hAnsi="Arial"/>
      <w:b/>
      <w:bCs/>
      <w:sz w:val="28"/>
      <w:szCs w:val="28"/>
    </w:rPr>
  </w:style>
  <w:style w:type="paragraph" w:styleId="Heading2">
    <w:name w:val="Heading 2"/>
    <w:basedOn w:val="Normal"/>
    <w:next w:val="Normal"/>
    <w:qFormat/>
    <w:pPr>
      <w:spacing w:after="10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2026-06-30T20:10:13.663Z</dcterms:created>
  <dcterms:modified xsi:type="dcterms:W3CDTF">2026-06-30T20:10:13.663Z</dcterms:modified>
</cp:coreProperties>
</file>

<file path=docProps/custom.xml><?xml version="1.0" encoding="utf-8"?>
<Properties xmlns="http://schemas.openxmlformats.org/officeDocument/2006/custom-properties" xmlns:vt="http://schemas.openxmlformats.org/officeDocument/2006/docPropsVTypes"/>
</file>