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27" w:rsidRDefault="00490682" w:rsidP="00490682">
      <w:pPr>
        <w:pStyle w:val="KeinLeerraum"/>
      </w:pPr>
      <w:r>
        <w:t>Seite 16</w:t>
      </w:r>
    </w:p>
    <w:p w:rsidR="00490682" w:rsidRDefault="00490682" w:rsidP="00490682">
      <w:pPr>
        <w:pStyle w:val="KeinLeerraum"/>
      </w:pPr>
      <w:r>
        <w:t>Normalinvestition:</w:t>
      </w:r>
    </w:p>
    <w:p w:rsidR="00490682" w:rsidRDefault="00490682" w:rsidP="00490682">
      <w:pPr>
        <w:pStyle w:val="KeinLeerraum"/>
        <w:ind w:firstLine="708"/>
        <w:rPr>
          <w:rFonts w:ascii="Calibri" w:hAnsi="Calibri" w:cs="Calibri"/>
        </w:rPr>
      </w:pPr>
      <w:r>
        <w:t xml:space="preserve">- </w:t>
      </w:r>
      <w:r>
        <w:rPr>
          <w:rFonts w:ascii="Calibri" w:hAnsi="Calibri" w:cs="Calibri"/>
        </w:rPr>
        <w:t>sich die Vorzeichen in der Objektzahlungsreihe genau einmal abwechseln</w:t>
      </w:r>
    </w:p>
    <w:p w:rsidR="00490682" w:rsidRDefault="00490682" w:rsidP="00490682">
      <w:pPr>
        <w:pStyle w:val="KeinLeerraum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 xml:space="preserve">existiert </w:t>
      </w:r>
      <w:r>
        <w:rPr>
          <w:rFonts w:ascii="Calibri" w:hAnsi="Calibri" w:cs="Calibri"/>
        </w:rPr>
        <w:t>ein eindeutiger interner Zinsfuß</w:t>
      </w:r>
      <w:bookmarkStart w:id="0" w:name="_GoBack"/>
      <w:bookmarkEnd w:id="0"/>
    </w:p>
    <w:p w:rsidR="00490682" w:rsidRPr="00490682" w:rsidRDefault="00490682" w:rsidP="00490682">
      <w:pPr>
        <w:pStyle w:val="KeinLeerraum"/>
      </w:pPr>
    </w:p>
    <w:sectPr w:rsidR="00490682" w:rsidRPr="00490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82"/>
    <w:rsid w:val="00490682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6746"/>
  <w15:chartTrackingRefBased/>
  <w15:docId w15:val="{6A2467E8-EE1B-4D56-9191-B283F6FE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90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</cp:revision>
  <dcterms:created xsi:type="dcterms:W3CDTF">2018-12-08T12:38:00Z</dcterms:created>
  <dcterms:modified xsi:type="dcterms:W3CDTF">2018-12-08T12:40:00Z</dcterms:modified>
</cp:coreProperties>
</file>