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27" w:rsidRDefault="00490682" w:rsidP="00490682">
      <w:pPr>
        <w:pStyle w:val="KeinLeerraum"/>
      </w:pPr>
      <w:r>
        <w:t>Seite 16</w:t>
      </w:r>
    </w:p>
    <w:p w:rsidR="006306FC" w:rsidRDefault="006306FC" w:rsidP="00490682">
      <w:pPr>
        <w:pStyle w:val="KeinLeerraum"/>
      </w:pPr>
    </w:p>
    <w:p w:rsidR="006306FC" w:rsidRDefault="006306FC" w:rsidP="00490682">
      <w:pPr>
        <w:pStyle w:val="KeinLeerraum"/>
      </w:pPr>
      <w:r>
        <w:t>Interner Zinsfuß</w:t>
      </w:r>
    </w:p>
    <w:p w:rsidR="006306FC" w:rsidRDefault="006306FC" w:rsidP="00490682">
      <w:pPr>
        <w:pStyle w:val="KeinLeerraum"/>
      </w:pPr>
    </w:p>
    <w:p w:rsidR="00490682" w:rsidRDefault="00490682" w:rsidP="00490682">
      <w:pPr>
        <w:pStyle w:val="KeinLeerraum"/>
      </w:pPr>
      <w:r>
        <w:t>Normalinvestition:</w:t>
      </w:r>
    </w:p>
    <w:p w:rsidR="00490682" w:rsidRDefault="00490682" w:rsidP="00490682">
      <w:pPr>
        <w:pStyle w:val="KeinLeerraum"/>
        <w:ind w:firstLine="708"/>
        <w:rPr>
          <w:rFonts w:ascii="Calibri" w:hAnsi="Calibri" w:cs="Calibri"/>
        </w:rPr>
      </w:pPr>
      <w:r>
        <w:t xml:space="preserve">- </w:t>
      </w:r>
      <w:r>
        <w:rPr>
          <w:rFonts w:ascii="Calibri" w:hAnsi="Calibri" w:cs="Calibri"/>
        </w:rPr>
        <w:t>sich die Vorzeichen in der Objektzahlungsreihe genau einmal abwechseln</w:t>
      </w:r>
    </w:p>
    <w:p w:rsidR="00490682" w:rsidRDefault="00490682" w:rsidP="00490682">
      <w:pPr>
        <w:pStyle w:val="KeinLeerraum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- existiert ein eindeutiger interner Zinsfuß</w:t>
      </w:r>
    </w:p>
    <w:p w:rsidR="00490682" w:rsidRDefault="00490682" w:rsidP="00490682">
      <w:pPr>
        <w:pStyle w:val="KeinLeerraum"/>
      </w:pPr>
    </w:p>
    <w:p w:rsidR="006306FC" w:rsidRDefault="006306FC" w:rsidP="00490682">
      <w:pPr>
        <w:pStyle w:val="KeinLeerraum"/>
      </w:pPr>
      <w:r>
        <w:t>Interner Zinssatz</w:t>
      </w:r>
    </w:p>
    <w:p w:rsidR="006306FC" w:rsidRDefault="006306FC" w:rsidP="00490682">
      <w:pPr>
        <w:pStyle w:val="KeinLeerraum"/>
      </w:pPr>
      <w:r>
        <w:tab/>
        <w:t>-unabhängige Projekte</w:t>
      </w:r>
    </w:p>
    <w:p w:rsidR="006306FC" w:rsidRDefault="006306FC" w:rsidP="00490682">
      <w:pPr>
        <w:pStyle w:val="KeinLeerraum"/>
      </w:pPr>
      <w:r>
        <w:tab/>
        <w:t>-abhängige Projekte</w:t>
      </w:r>
    </w:p>
    <w:p w:rsidR="006306FC" w:rsidRDefault="006306FC" w:rsidP="00490682">
      <w:pPr>
        <w:pStyle w:val="KeinLeerraum"/>
      </w:pPr>
    </w:p>
    <w:p w:rsidR="006306FC" w:rsidRDefault="003C50EF" w:rsidP="00490682">
      <w:pPr>
        <w:pStyle w:val="KeinLeerraum"/>
      </w:pPr>
      <w:r w:rsidRPr="003C50EF">
        <w:t>Reinvestitionshypothese</w:t>
      </w:r>
    </w:p>
    <w:p w:rsidR="003C50EF" w:rsidRDefault="003C50EF" w:rsidP="00490682">
      <w:pPr>
        <w:pStyle w:val="KeinLeerraum"/>
      </w:pPr>
    </w:p>
    <w:p w:rsidR="003C50EF" w:rsidRDefault="003C50EF" w:rsidP="00490682">
      <w:pPr>
        <w:pStyle w:val="KeinLeerraum"/>
      </w:pPr>
      <w:r w:rsidRPr="003C50EF">
        <w:t>Investitionsrechnung</w:t>
      </w:r>
      <w:r>
        <w:t xml:space="preserve">: </w:t>
      </w:r>
    </w:p>
    <w:p w:rsidR="003C50EF" w:rsidRDefault="003C50EF" w:rsidP="00490682">
      <w:pPr>
        <w:pStyle w:val="KeinLeerraum"/>
      </w:pPr>
    </w:p>
    <w:p w:rsidR="003C50EF" w:rsidRDefault="003C50EF" w:rsidP="00490682">
      <w:pPr>
        <w:pStyle w:val="KeinLeerraum"/>
      </w:pPr>
      <w:r>
        <w:t>Annuitätsmethode:</w:t>
      </w:r>
    </w:p>
    <w:p w:rsidR="003C50EF" w:rsidRDefault="003C50EF" w:rsidP="00490682">
      <w:pPr>
        <w:pStyle w:val="KeinLeerraum"/>
      </w:pPr>
    </w:p>
    <w:p w:rsidR="003C50EF" w:rsidRDefault="00486573" w:rsidP="00490682">
      <w:pPr>
        <w:pStyle w:val="KeinLeerraum"/>
      </w:pPr>
      <w:r>
        <w:t>Kapitel 3: Investitionsplanung</w:t>
      </w:r>
    </w:p>
    <w:p w:rsidR="00486573" w:rsidRDefault="00486573" w:rsidP="00490682">
      <w:pPr>
        <w:pStyle w:val="KeinLeerraum"/>
      </w:pPr>
      <w:r>
        <w:t>Inkrementelle Kosten</w:t>
      </w:r>
    </w:p>
    <w:p w:rsidR="00486573" w:rsidRDefault="002E1682" w:rsidP="00490682">
      <w:pPr>
        <w:pStyle w:val="KeinLeerraum"/>
      </w:pPr>
      <w:r>
        <w:t>Free Cashflow</w:t>
      </w:r>
    </w:p>
    <w:p w:rsidR="002E1682" w:rsidRPr="00490682" w:rsidRDefault="002E1682" w:rsidP="00490682">
      <w:pPr>
        <w:pStyle w:val="KeinLeerraum"/>
      </w:pPr>
      <w:bookmarkStart w:id="0" w:name="_GoBack"/>
      <w:bookmarkEnd w:id="0"/>
    </w:p>
    <w:sectPr w:rsidR="002E1682" w:rsidRPr="004906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82"/>
    <w:rsid w:val="002E1682"/>
    <w:rsid w:val="002E5C7B"/>
    <w:rsid w:val="003C50EF"/>
    <w:rsid w:val="00486573"/>
    <w:rsid w:val="00490682"/>
    <w:rsid w:val="006306FC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5D3F"/>
  <w15:chartTrackingRefBased/>
  <w15:docId w15:val="{6A2467E8-EE1B-4D56-9191-B283F6FE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90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4</cp:revision>
  <dcterms:created xsi:type="dcterms:W3CDTF">2018-12-08T12:38:00Z</dcterms:created>
  <dcterms:modified xsi:type="dcterms:W3CDTF">2018-12-08T17:47:00Z</dcterms:modified>
</cp:coreProperties>
</file>