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C" w:rsidRPr="00DC45AC" w:rsidRDefault="00DC45AC" w:rsidP="00C10D19">
      <w:pPr>
        <w:spacing w:after="0"/>
        <w:rPr>
          <w:b/>
        </w:rPr>
      </w:pPr>
      <w:r w:rsidRPr="00DC45AC">
        <w:rPr>
          <w:b/>
        </w:rPr>
        <w:t>Du-Pont-Identität:</w:t>
      </w:r>
    </w:p>
    <w:p w:rsidR="00DC45AC" w:rsidRDefault="00A64822" w:rsidP="00C10D19">
      <w:pPr>
        <w:spacing w:after="0"/>
      </w:pPr>
      <w:r>
        <w:rPr>
          <w:noProof/>
        </w:rPr>
        <w:drawing>
          <wp:inline distT="0" distB="0" distL="0" distR="0" wp14:anchorId="6298D83C" wp14:editId="1CAC575B">
            <wp:extent cx="5760720" cy="65405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AC" w:rsidRPr="00A64822" w:rsidRDefault="00A64822" w:rsidP="00A64822">
      <w:pPr>
        <w:tabs>
          <w:tab w:val="left" w:pos="1418"/>
          <w:tab w:val="left" w:pos="3402"/>
          <w:tab w:val="left" w:pos="7088"/>
        </w:tabs>
        <w:spacing w:after="0"/>
        <w:rPr>
          <w:b/>
        </w:rPr>
      </w:pPr>
      <w:r w:rsidRPr="00A64822">
        <w:rPr>
          <w:b/>
        </w:rPr>
        <w:tab/>
        <w:t>Profitabilität</w:t>
      </w:r>
      <w:r w:rsidRPr="00A64822">
        <w:rPr>
          <w:b/>
        </w:rPr>
        <w:tab/>
        <w:t>Vermögenseffizienz</w:t>
      </w:r>
      <w:r w:rsidRPr="00A64822">
        <w:rPr>
          <w:b/>
        </w:rPr>
        <w:tab/>
        <w:t>Hebel</w:t>
      </w:r>
    </w:p>
    <w:p w:rsidR="00DC45AC" w:rsidRDefault="00DC45AC" w:rsidP="00C10D19">
      <w:pPr>
        <w:spacing w:after="0"/>
      </w:pPr>
    </w:p>
    <w:p w:rsidR="009F07DB" w:rsidRPr="004C4263" w:rsidRDefault="004C4263" w:rsidP="00C10D19">
      <w:pPr>
        <w:spacing w:after="0"/>
        <w:rPr>
          <w:b/>
        </w:rPr>
      </w:pPr>
      <w:r w:rsidRPr="004C4263">
        <w:rPr>
          <w:b/>
        </w:rPr>
        <w:t>Investitionsentscheidungen:</w:t>
      </w:r>
    </w:p>
    <w:p w:rsidR="004C4263" w:rsidRDefault="00504CE5" w:rsidP="00504CE5">
      <w:pPr>
        <w:pStyle w:val="Listenabsatz"/>
        <w:numPr>
          <w:ilvl w:val="0"/>
          <w:numId w:val="2"/>
        </w:numPr>
        <w:spacing w:after="0"/>
      </w:pPr>
      <w:r>
        <w:t>Kapitalwertmethode</w:t>
      </w:r>
      <w:r w:rsidR="004161E5">
        <w:t xml:space="preserve"> (KW)</w:t>
      </w:r>
    </w:p>
    <w:p w:rsidR="00B86ED5" w:rsidRDefault="00B86ED5" w:rsidP="00C73E9B">
      <w:pPr>
        <w:pStyle w:val="Listenabsatz"/>
        <w:numPr>
          <w:ilvl w:val="1"/>
          <w:numId w:val="2"/>
        </w:numPr>
        <w:spacing w:after="0"/>
      </w:pPr>
      <w:r>
        <w:t>unterstellt, dass alle während der Projektlaufzeit anfallenden Zahlungsüberschüsse bzw. -defizite zum Periodenzins r angelegt bzw. refinanziert werden</w:t>
      </w:r>
    </w:p>
    <w:p w:rsidR="00504CE5" w:rsidRDefault="00504CE5" w:rsidP="00504CE5">
      <w:pPr>
        <w:pStyle w:val="Listenabsatz"/>
        <w:numPr>
          <w:ilvl w:val="0"/>
          <w:numId w:val="2"/>
        </w:numPr>
        <w:spacing w:after="0"/>
      </w:pPr>
      <w:r>
        <w:t>Interner Zinsfuß</w:t>
      </w:r>
      <w:r w:rsidR="004161E5">
        <w:t xml:space="preserve"> (IRR)</w:t>
      </w:r>
    </w:p>
    <w:p w:rsidR="001B547E" w:rsidRDefault="00A42E6D" w:rsidP="001B547E">
      <w:pPr>
        <w:pStyle w:val="Listenabsatz"/>
        <w:numPr>
          <w:ilvl w:val="1"/>
          <w:numId w:val="2"/>
        </w:numPr>
        <w:spacing w:after="0"/>
      </w:pPr>
      <w:r>
        <w:t>u</w:t>
      </w:r>
      <w:r w:rsidR="00BA755E">
        <w:t>nterstellt Wiederanlage zum IRR</w:t>
      </w:r>
    </w:p>
    <w:p w:rsidR="00602479" w:rsidRDefault="004E6FC0" w:rsidP="00602479">
      <w:pPr>
        <w:pStyle w:val="Listenabsatz"/>
        <w:numPr>
          <w:ilvl w:val="1"/>
          <w:numId w:val="2"/>
        </w:numPr>
        <w:spacing w:after="0"/>
      </w:pPr>
      <w:r>
        <w:t>n</w:t>
      </w:r>
      <w:r w:rsidR="00602479">
        <w:t>ur bei Normalinvestitionen, oder mit unendlicher Laufzeit (wenn linear)</w:t>
      </w:r>
    </w:p>
    <w:p w:rsidR="004E6FC0" w:rsidRDefault="004E6FC0" w:rsidP="00602479">
      <w:pPr>
        <w:pStyle w:val="Listenabsatz"/>
        <w:numPr>
          <w:ilvl w:val="1"/>
          <w:numId w:val="2"/>
        </w:numPr>
        <w:spacing w:after="0"/>
      </w:pPr>
      <w:r w:rsidRPr="00BE1799">
        <w:rPr>
          <w:u w:val="single"/>
        </w:rPr>
        <w:t>Normalinvestitionen</w:t>
      </w:r>
      <w:r>
        <w:t>: 1 Vorzeichenwechsel, erster alle negativen dann alle positiven Cashflows</w:t>
      </w:r>
      <w:r w:rsidR="007417E5">
        <w:t xml:space="preserve"> </w:t>
      </w:r>
      <w:r w:rsidR="00197622">
        <w:sym w:font="Wingdings" w:char="F0E0"/>
      </w:r>
      <w:r w:rsidR="007417E5">
        <w:t xml:space="preserve"> ein eindeutiger IRR</w:t>
      </w:r>
    </w:p>
    <w:p w:rsidR="00504CE5" w:rsidRDefault="00504CE5" w:rsidP="00504CE5">
      <w:pPr>
        <w:pStyle w:val="Listenabsatz"/>
        <w:numPr>
          <w:ilvl w:val="0"/>
          <w:numId w:val="2"/>
        </w:numPr>
        <w:spacing w:after="0"/>
      </w:pPr>
      <w:r>
        <w:t>Annuitätenmethode</w:t>
      </w:r>
    </w:p>
    <w:p w:rsidR="000553B2" w:rsidRDefault="000553B2" w:rsidP="000553B2">
      <w:pPr>
        <w:pStyle w:val="Listenabsatz"/>
        <w:numPr>
          <w:ilvl w:val="1"/>
          <w:numId w:val="2"/>
        </w:numPr>
        <w:spacing w:after="0"/>
      </w:pPr>
      <w:r>
        <w:t>Bei der Annuitätenmethode muss der Anschaffungspreis nach finanzmathematischen Regeln auf die Laufzeit verteilt werden, was mit der Annuitätenformel geschieht</w:t>
      </w:r>
    </w:p>
    <w:p w:rsidR="004D38E1" w:rsidRDefault="004D38E1" w:rsidP="000553B2">
      <w:pPr>
        <w:pStyle w:val="Listenabsatz"/>
        <w:numPr>
          <w:ilvl w:val="1"/>
          <w:numId w:val="2"/>
        </w:numPr>
        <w:spacing w:after="0"/>
      </w:pPr>
      <w:r>
        <w:t>Annuität</w:t>
      </w:r>
      <w:r w:rsidR="00FF5A6D">
        <w:t xml:space="preserve"> als </w:t>
      </w:r>
      <w:r>
        <w:t>Abwandlung der Kapitalwertmethode, d. h. als Aufteilung des Kapitalwertes über die Laufzeit des Projekts</w:t>
      </w:r>
    </w:p>
    <w:p w:rsidR="00FE1D2C" w:rsidRDefault="00FE1D2C" w:rsidP="00FE1D2C">
      <w:pPr>
        <w:pStyle w:val="Listenabsatz"/>
        <w:numPr>
          <w:ilvl w:val="1"/>
          <w:numId w:val="2"/>
        </w:numPr>
        <w:spacing w:after="0"/>
      </w:pPr>
      <w:r>
        <w:t>Projekte können nur verglichen werden, wenn gleiche Laufzeit bzw. unendliche Laufzeit</w:t>
      </w:r>
    </w:p>
    <w:p w:rsidR="006054BD" w:rsidRDefault="00AE3FF4" w:rsidP="00FE1D2C">
      <w:pPr>
        <w:pStyle w:val="Listenabsatz"/>
        <w:numPr>
          <w:ilvl w:val="1"/>
          <w:numId w:val="2"/>
        </w:numPr>
        <w:spacing w:after="0"/>
      </w:pPr>
      <w:r>
        <w:t xml:space="preserve">Auch bei </w:t>
      </w:r>
      <w:r w:rsidR="006054BD">
        <w:t>unendliche</w:t>
      </w:r>
      <w:r>
        <w:t>r</w:t>
      </w:r>
      <w:r w:rsidR="006054BD">
        <w:t xml:space="preserve"> Investitionskette</w:t>
      </w:r>
      <w:r>
        <w:t xml:space="preserve"> (</w:t>
      </w:r>
      <w:r w:rsidR="00DA55D6">
        <w:t>unendlichen</w:t>
      </w:r>
      <w:r w:rsidR="00346EC4">
        <w:t xml:space="preserve"> Planungshorizont)</w:t>
      </w:r>
      <w:r w:rsidR="00F57C1E">
        <w:t>, deshalb meist dort verwendet</w:t>
      </w:r>
    </w:p>
    <w:p w:rsidR="00F306D4" w:rsidRDefault="00F306D4" w:rsidP="00FE1D2C">
      <w:pPr>
        <w:pStyle w:val="Listenabsatz"/>
        <w:numPr>
          <w:ilvl w:val="1"/>
          <w:numId w:val="2"/>
        </w:numPr>
        <w:spacing w:after="0"/>
      </w:pPr>
      <w:r>
        <w:t>Projekt mit der höchsten Annuität sollte gewählte werden (bei Kosten, das Projekt mit der niedrigsten)</w:t>
      </w:r>
    </w:p>
    <w:p w:rsidR="00504CE5" w:rsidRDefault="00504CE5" w:rsidP="00504CE5">
      <w:pPr>
        <w:pStyle w:val="Listenabsatz"/>
        <w:numPr>
          <w:ilvl w:val="0"/>
          <w:numId w:val="2"/>
        </w:numPr>
        <w:spacing w:after="0"/>
      </w:pPr>
      <w:r>
        <w:t>Sensitivitätsanalyse</w:t>
      </w:r>
    </w:p>
    <w:p w:rsidR="0006648C" w:rsidRDefault="004161E5" w:rsidP="0006648C">
      <w:pPr>
        <w:pStyle w:val="Listenabsatz"/>
        <w:numPr>
          <w:ilvl w:val="1"/>
          <w:numId w:val="2"/>
        </w:numPr>
        <w:spacing w:after="0"/>
      </w:pPr>
      <w:r>
        <w:t xml:space="preserve">Auswirkungen auf </w:t>
      </w:r>
      <w:proofErr w:type="gramStart"/>
      <w:r>
        <w:t>KW</w:t>
      </w:r>
      <w:proofErr w:type="gramEnd"/>
      <w:r>
        <w:t xml:space="preserve"> wenn </w:t>
      </w:r>
      <w:r w:rsidR="00D52AB9">
        <w:t>sich</w:t>
      </w:r>
      <w:r>
        <w:t xml:space="preserve"> </w:t>
      </w:r>
      <w:r w:rsidR="00D52AB9">
        <w:t>ein Parameter verändert</w:t>
      </w:r>
    </w:p>
    <w:p w:rsidR="00504CE5" w:rsidRDefault="00504CE5" w:rsidP="00504CE5">
      <w:pPr>
        <w:pStyle w:val="Listenabsatz"/>
        <w:numPr>
          <w:ilvl w:val="0"/>
          <w:numId w:val="2"/>
        </w:numPr>
        <w:spacing w:after="0"/>
      </w:pPr>
      <w:r>
        <w:t>Szenarioanalyse</w:t>
      </w:r>
    </w:p>
    <w:p w:rsidR="00AD357A" w:rsidRDefault="00AD357A" w:rsidP="00AD357A">
      <w:pPr>
        <w:pStyle w:val="Listenabsatz"/>
        <w:numPr>
          <w:ilvl w:val="1"/>
          <w:numId w:val="2"/>
        </w:numPr>
        <w:spacing w:after="0"/>
      </w:pPr>
      <w:r>
        <w:t xml:space="preserve">Auswirkungen auf </w:t>
      </w:r>
      <w:proofErr w:type="gramStart"/>
      <w:r>
        <w:t>KW</w:t>
      </w:r>
      <w:proofErr w:type="gramEnd"/>
      <w:r>
        <w:t xml:space="preserve"> wenn sich mehrere Parameter verändern</w:t>
      </w:r>
    </w:p>
    <w:p w:rsidR="00504CE5" w:rsidRDefault="00504CE5" w:rsidP="00504CE5">
      <w:pPr>
        <w:spacing w:after="0"/>
      </w:pPr>
    </w:p>
    <w:p w:rsidR="00B27FB2" w:rsidRPr="00B27FB2" w:rsidRDefault="00B27FB2" w:rsidP="00504CE5">
      <w:pPr>
        <w:spacing w:after="0"/>
        <w:rPr>
          <w:b/>
        </w:rPr>
      </w:pPr>
      <w:r w:rsidRPr="00B27FB2">
        <w:rPr>
          <w:b/>
        </w:rPr>
        <w:t>Free Cashflow:</w:t>
      </w:r>
    </w:p>
    <w:p w:rsidR="00B27FB2" w:rsidRDefault="00007A9C" w:rsidP="00007A9C">
      <w:pPr>
        <w:pStyle w:val="Listenabsatz"/>
        <w:numPr>
          <w:ilvl w:val="0"/>
          <w:numId w:val="3"/>
        </w:numPr>
        <w:spacing w:after="0"/>
      </w:pPr>
      <w:r>
        <w:t xml:space="preserve">Abschreibungsaufwendungen </w:t>
      </w:r>
      <w:r w:rsidR="00B51755">
        <w:sym w:font="Wingdings" w:char="F0E0"/>
      </w:r>
      <w:r>
        <w:t xml:space="preserve"> positive Auswirkung auf den Free Cashflow</w:t>
      </w:r>
    </w:p>
    <w:p w:rsidR="00007A9C" w:rsidRDefault="00007A9C" w:rsidP="00007A9C">
      <w:pPr>
        <w:pStyle w:val="Listenabsatz"/>
        <w:numPr>
          <w:ilvl w:val="0"/>
          <w:numId w:val="3"/>
        </w:numPr>
        <w:spacing w:after="0"/>
      </w:pPr>
      <w:r>
        <w:t xml:space="preserve">Zinsausgaben </w:t>
      </w:r>
      <w:r w:rsidR="007536EC">
        <w:t xml:space="preserve">bei Investitionsplanungsentscheidungen </w:t>
      </w:r>
      <w:r>
        <w:t>für gewöhnlich nicht berücksichtigt, da ein Projekt für sich und unabhängig von der Finanzierungsart bewertet werden sollte</w:t>
      </w:r>
    </w:p>
    <w:p w:rsidR="00076DE2" w:rsidRDefault="00076DE2" w:rsidP="00007A9C">
      <w:pPr>
        <w:pStyle w:val="Listenabsatz"/>
        <w:numPr>
          <w:ilvl w:val="0"/>
          <w:numId w:val="3"/>
        </w:numPr>
        <w:spacing w:after="0"/>
      </w:pPr>
      <w:r>
        <w:t>Der Steuervorteil aus Abschreibungen bezeichnet die Steuerersparnisse, die aus der Möglichkeit des Abzugs der Abschreibungen bei der Gewinnermittlung entstehen.</w:t>
      </w:r>
    </w:p>
    <w:p w:rsidR="00EF58DB" w:rsidRDefault="00EF58DB" w:rsidP="00504CE5">
      <w:pPr>
        <w:spacing w:after="0"/>
        <w:rPr>
          <w:b/>
        </w:rPr>
      </w:pPr>
    </w:p>
    <w:p w:rsidR="00E13A22" w:rsidRPr="001C723E" w:rsidRDefault="001C723E" w:rsidP="00504CE5">
      <w:pPr>
        <w:spacing w:after="0"/>
        <w:rPr>
          <w:b/>
        </w:rPr>
      </w:pPr>
      <w:r w:rsidRPr="001C723E">
        <w:rPr>
          <w:b/>
        </w:rPr>
        <w:t>Beta:</w:t>
      </w:r>
    </w:p>
    <w:p w:rsidR="001C723E" w:rsidRDefault="001C723E" w:rsidP="001C723E">
      <w:pPr>
        <w:pStyle w:val="Listenabsatz"/>
        <w:numPr>
          <w:ilvl w:val="0"/>
          <w:numId w:val="4"/>
        </w:numPr>
        <w:spacing w:after="0"/>
      </w:pPr>
      <w:r>
        <w:t>misst das nicht-diversifizierbare Risiko eines Wertpapiers</w:t>
      </w:r>
    </w:p>
    <w:p w:rsidR="00E905C0" w:rsidRDefault="00E905C0" w:rsidP="001C723E">
      <w:pPr>
        <w:pStyle w:val="Listenabsatz"/>
        <w:numPr>
          <w:ilvl w:val="0"/>
          <w:numId w:val="4"/>
        </w:numPr>
        <w:spacing w:after="0"/>
      </w:pPr>
      <w:r>
        <w:t>ist die erwartete prozentuale Änderung der Überrendite (über dem risikolosen Zins) eines Wertpapiers bei einer 1%-</w:t>
      </w:r>
      <w:proofErr w:type="spellStart"/>
      <w:r>
        <w:t>igen</w:t>
      </w:r>
      <w:proofErr w:type="spellEnd"/>
      <w:r>
        <w:t xml:space="preserve"> Änderung der Überrendite des Marktportfolios über dem risikolosen Zins.</w:t>
      </w:r>
      <w:bookmarkStart w:id="0" w:name="_GoBack"/>
      <w:bookmarkEnd w:id="0"/>
    </w:p>
    <w:p w:rsidR="00E905C0" w:rsidRDefault="001C1928" w:rsidP="001C723E">
      <w:pPr>
        <w:pStyle w:val="Listenabsatz"/>
        <w:numPr>
          <w:ilvl w:val="0"/>
          <w:numId w:val="4"/>
        </w:numPr>
        <w:spacing w:after="0"/>
      </w:pPr>
      <w:r>
        <w:t>r</w:t>
      </w:r>
      <w:r w:rsidR="00E905C0">
        <w:t>epräsentiert wie groß Risiken, die den allgemeinen Markt betreffen für eine gegebene Aktie oder ein Investment sind.</w:t>
      </w:r>
    </w:p>
    <w:p w:rsidR="001C1928" w:rsidRDefault="001C1928" w:rsidP="001C723E">
      <w:pPr>
        <w:pStyle w:val="Listenabsatz"/>
        <w:numPr>
          <w:ilvl w:val="0"/>
          <w:numId w:val="4"/>
        </w:numPr>
        <w:spacing w:after="0"/>
      </w:pPr>
      <w:r>
        <w:t>Es ist gängige Praxis, das Beta auf Basis von historischen Korrelationen und Volatilitäten zu schätzen</w:t>
      </w:r>
    </w:p>
    <w:p w:rsidR="00EF58DB" w:rsidRDefault="00EF58DB" w:rsidP="00EF58DB">
      <w:pPr>
        <w:spacing w:after="0"/>
      </w:pPr>
    </w:p>
    <w:p w:rsidR="004D093E" w:rsidRPr="00F97321" w:rsidRDefault="004D093E" w:rsidP="00504CE5">
      <w:pPr>
        <w:spacing w:after="0"/>
        <w:rPr>
          <w:b/>
          <w:lang w:val="en-GB"/>
        </w:rPr>
      </w:pPr>
      <w:r w:rsidRPr="00F97321">
        <w:rPr>
          <w:b/>
          <w:lang w:val="en-GB"/>
        </w:rPr>
        <w:lastRenderedPageBreak/>
        <w:t>CAPM</w:t>
      </w:r>
      <w:r w:rsidR="00F97321" w:rsidRPr="00F97321">
        <w:rPr>
          <w:b/>
          <w:lang w:val="en-GB"/>
        </w:rPr>
        <w:t xml:space="preserve"> (Capital Asset Pricing Model);</w:t>
      </w:r>
    </w:p>
    <w:p w:rsidR="004D093E" w:rsidRDefault="008A2596" w:rsidP="008A2596">
      <w:pPr>
        <w:pStyle w:val="Listenabsatz"/>
        <w:numPr>
          <w:ilvl w:val="0"/>
          <w:numId w:val="5"/>
        </w:numPr>
        <w:spacing w:after="0"/>
      </w:pPr>
      <w:r>
        <w:t>Voraussetzungen:</w:t>
      </w:r>
    </w:p>
    <w:p w:rsidR="008A2596" w:rsidRDefault="008A2596" w:rsidP="008A2596">
      <w:pPr>
        <w:pStyle w:val="Listenabsatz"/>
        <w:numPr>
          <w:ilvl w:val="1"/>
          <w:numId w:val="5"/>
        </w:numPr>
        <w:spacing w:after="0"/>
      </w:pPr>
      <w:r>
        <w:t>Betas sind beobachtbar</w:t>
      </w:r>
    </w:p>
    <w:p w:rsidR="008A2596" w:rsidRDefault="008A2596" w:rsidP="008A2596">
      <w:pPr>
        <w:pStyle w:val="Listenabsatz"/>
        <w:numPr>
          <w:ilvl w:val="1"/>
          <w:numId w:val="5"/>
        </w:numPr>
        <w:spacing w:after="0"/>
      </w:pPr>
      <w:r>
        <w:t>Erwartenden Renditen sind beobachtbar</w:t>
      </w:r>
    </w:p>
    <w:p w:rsidR="008A2596" w:rsidRDefault="008A2596" w:rsidP="008A2596">
      <w:pPr>
        <w:pStyle w:val="Listenabsatz"/>
        <w:numPr>
          <w:ilvl w:val="1"/>
          <w:numId w:val="5"/>
        </w:numPr>
        <w:spacing w:after="0"/>
      </w:pPr>
      <w:r>
        <w:t>Markt-Proxy ist korrekt</w:t>
      </w:r>
    </w:p>
    <w:p w:rsidR="004D093E" w:rsidRDefault="001C0242" w:rsidP="00504CE5">
      <w:pPr>
        <w:pStyle w:val="Listenabsatz"/>
        <w:numPr>
          <w:ilvl w:val="0"/>
          <w:numId w:val="5"/>
        </w:numPr>
        <w:spacing w:after="0"/>
      </w:pPr>
      <w:r>
        <w:t>Das CAPM sagt aus, dass wir den zum Investmenthorizont entsprechenden risikolosen Zinssatz benutzen sollten.</w:t>
      </w:r>
    </w:p>
    <w:p w:rsidR="001C0242" w:rsidRDefault="001C0242" w:rsidP="00504CE5">
      <w:pPr>
        <w:pStyle w:val="Listenabsatz"/>
        <w:numPr>
          <w:ilvl w:val="0"/>
          <w:numId w:val="5"/>
        </w:numPr>
        <w:spacing w:after="0"/>
      </w:pPr>
      <w:r>
        <w:t>Um die Risikoprämie für eine Aktie mithilfe der Wertpapiermarktlinie (SML) zu bestimmen, brauchen wir eine Schätzung der Marktrisikoprämie.</w:t>
      </w:r>
    </w:p>
    <w:p w:rsidR="001C0242" w:rsidRDefault="001C0242" w:rsidP="00504CE5">
      <w:pPr>
        <w:pStyle w:val="Listenabsatz"/>
        <w:numPr>
          <w:ilvl w:val="0"/>
          <w:numId w:val="5"/>
        </w:numPr>
        <w:spacing w:after="0"/>
      </w:pPr>
      <w:r>
        <w:t>Der risikolose Zinssatz bestimmt sich im Allgemeinen aus den Zinssätzen der U.S. Schatzwechsel</w:t>
      </w:r>
      <w:r w:rsidR="00D35333">
        <w:t>-</w:t>
      </w:r>
      <w:r>
        <w:t>Wertpapiere, da diese kein Konkursrisiko aufweisen.</w:t>
      </w:r>
    </w:p>
    <w:p w:rsidR="003D6E9A" w:rsidRDefault="003D6E9A" w:rsidP="00504CE5">
      <w:pPr>
        <w:pStyle w:val="Listenabsatz"/>
        <w:numPr>
          <w:ilvl w:val="0"/>
          <w:numId w:val="5"/>
        </w:numPr>
        <w:spacing w:after="0"/>
      </w:pPr>
      <w:r>
        <w:t xml:space="preserve">Erwartende Rendite eines riskanten Wertpapiers hängt von seinem </w:t>
      </w:r>
      <w:r w:rsidR="005C34E7">
        <w:t>Kovarianz-Risiko</w:t>
      </w:r>
      <w:r>
        <w:t xml:space="preserve"> (Schwankung der Wertpapierrenditen mit der Rendite des Marktportfolios)</w:t>
      </w:r>
      <w:r w:rsidR="00153951">
        <w:t>ab.</w:t>
      </w:r>
    </w:p>
    <w:p w:rsidR="001C723E" w:rsidRDefault="001C723E" w:rsidP="00504CE5">
      <w:pPr>
        <w:spacing w:after="0"/>
      </w:pPr>
    </w:p>
    <w:p w:rsidR="009F07DB" w:rsidRDefault="00B704FB" w:rsidP="00C10D19">
      <w:pPr>
        <w:spacing w:after="0"/>
      </w:pPr>
      <w:r>
        <w:t>Finanzmathematik:</w:t>
      </w:r>
    </w:p>
    <w:p w:rsidR="00C90DAE" w:rsidRDefault="00C90DAE" w:rsidP="00C10D19">
      <w:pPr>
        <w:spacing w:after="0"/>
      </w:pPr>
    </w:p>
    <w:p w:rsidR="00B704FB" w:rsidRPr="00C90DAE" w:rsidRDefault="00B704FB" w:rsidP="00C10D19">
      <w:pPr>
        <w:spacing w:after="0"/>
        <w:rPr>
          <w:b/>
        </w:rPr>
      </w:pPr>
      <w:r w:rsidRPr="00C90DAE">
        <w:rPr>
          <w:b/>
        </w:rPr>
        <w:t>Rentenbarwertformel nach n:</w:t>
      </w:r>
    </w:p>
    <w:p w:rsidR="00B704FB" w:rsidRPr="00C90DAE" w:rsidRDefault="00C90DAE" w:rsidP="00C10D19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(R-BW×r)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(q)</m:t>
              </m:r>
            </m:den>
          </m:f>
        </m:oMath>
      </m:oMathPara>
    </w:p>
    <w:p w:rsidR="00B704FB" w:rsidRPr="00C90DAE" w:rsidRDefault="00C90DAE" w:rsidP="00C10D19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×q-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BW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>×r)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(q)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:rsidR="009F07DB" w:rsidRDefault="009F07DB" w:rsidP="00C10D19">
      <w:pPr>
        <w:spacing w:after="0"/>
      </w:pPr>
    </w:p>
    <w:p w:rsidR="000F55D4" w:rsidRPr="00B07BF8" w:rsidRDefault="00B07BF8" w:rsidP="00C10D19">
      <w:pPr>
        <w:spacing w:after="0"/>
        <w:rPr>
          <w:b/>
        </w:rPr>
      </w:pPr>
      <w:r w:rsidRPr="00B07BF8">
        <w:rPr>
          <w:b/>
        </w:rPr>
        <w:t>Anleihen-Formeln (Laufzeit-, Terminzinssätze):</w:t>
      </w:r>
    </w:p>
    <w:p w:rsidR="000F55D4" w:rsidRDefault="000F55D4" w:rsidP="00C10D19">
      <w:pPr>
        <w:spacing w:after="0"/>
      </w:pPr>
    </w:p>
    <w:p w:rsidR="00E16A97" w:rsidRDefault="00E16A97" w:rsidP="00C10D19">
      <w:pPr>
        <w:spacing w:after="0"/>
      </w:pPr>
    </w:p>
    <w:p w:rsidR="000F55D4" w:rsidRPr="00B07BF8" w:rsidRDefault="000F55D4" w:rsidP="00C10D19">
      <w:pPr>
        <w:spacing w:after="0"/>
        <w:rPr>
          <w:b/>
        </w:rPr>
      </w:pPr>
      <w:r w:rsidRPr="00B07BF8">
        <w:rPr>
          <w:b/>
        </w:rPr>
        <w:t>Optionenformeln:</w:t>
      </w:r>
    </w:p>
    <w:p w:rsidR="000F55D4" w:rsidRDefault="000F55D4" w:rsidP="00C10D19">
      <w:pPr>
        <w:spacing w:after="0"/>
      </w:pPr>
      <w:r>
        <w:t>Hedge-Ratio</w:t>
      </w:r>
      <w:r w:rsidR="00C52859">
        <w:t>:</w:t>
      </w:r>
    </w:p>
    <w:p w:rsidR="000F55D4" w:rsidRPr="000D2AD0" w:rsidRDefault="00C52859" w:rsidP="00C10D19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 (u-d)</m:t>
              </m:r>
            </m:num>
            <m:den>
              <m:r>
                <w:rPr>
                  <w:rFonts w:ascii="Cambria Math" w:hAnsi="Cambria Math"/>
                </w:rPr>
                <m:t>Cu-Cd</m:t>
              </m:r>
            </m:den>
          </m:f>
        </m:oMath>
      </m:oMathPara>
    </w:p>
    <w:p w:rsidR="000D2AD0" w:rsidRPr="00C52859" w:rsidRDefault="000D2AD0" w:rsidP="00C10D19">
      <w:pPr>
        <w:spacing w:after="0"/>
        <w:rPr>
          <w:rFonts w:eastAsiaTheme="minorEastAsia"/>
        </w:rPr>
      </w:pPr>
    </w:p>
    <w:p w:rsidR="00C52859" w:rsidRDefault="00C52859" w:rsidP="00C10D19">
      <w:pPr>
        <w:spacing w:after="0"/>
        <w:rPr>
          <w:rFonts w:eastAsiaTheme="minorEastAsia"/>
        </w:rPr>
      </w:pPr>
      <w:r>
        <w:rPr>
          <w:rFonts w:eastAsiaTheme="minorEastAsia"/>
        </w:rPr>
        <w:t>Put-Call-Parität:</w:t>
      </w:r>
    </w:p>
    <w:p w:rsidR="00C52859" w:rsidRPr="00C52859" w:rsidRDefault="00104056" w:rsidP="00C10D19">
      <w:pPr>
        <w:spacing w:after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den>
          </m:f>
        </m:oMath>
      </m:oMathPara>
    </w:p>
    <w:sectPr w:rsidR="00C52859" w:rsidRPr="00C528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13A5"/>
    <w:multiLevelType w:val="hybridMultilevel"/>
    <w:tmpl w:val="B87284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A47D3"/>
    <w:multiLevelType w:val="hybridMultilevel"/>
    <w:tmpl w:val="487C3A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41D9F"/>
    <w:multiLevelType w:val="hybridMultilevel"/>
    <w:tmpl w:val="E0AA5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E4463"/>
    <w:multiLevelType w:val="hybridMultilevel"/>
    <w:tmpl w:val="75828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56997"/>
    <w:multiLevelType w:val="hybridMultilevel"/>
    <w:tmpl w:val="42F2B9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19"/>
    <w:rsid w:val="00007A9C"/>
    <w:rsid w:val="00030856"/>
    <w:rsid w:val="000553B2"/>
    <w:rsid w:val="0006534C"/>
    <w:rsid w:val="0006648C"/>
    <w:rsid w:val="00076DE2"/>
    <w:rsid w:val="00077C58"/>
    <w:rsid w:val="000D2AD0"/>
    <w:rsid w:val="000F55D4"/>
    <w:rsid w:val="00104056"/>
    <w:rsid w:val="001125F6"/>
    <w:rsid w:val="00153951"/>
    <w:rsid w:val="0018151B"/>
    <w:rsid w:val="00197622"/>
    <w:rsid w:val="001B547E"/>
    <w:rsid w:val="001C0242"/>
    <w:rsid w:val="001C1928"/>
    <w:rsid w:val="001C723E"/>
    <w:rsid w:val="001E2708"/>
    <w:rsid w:val="0020685D"/>
    <w:rsid w:val="0027530E"/>
    <w:rsid w:val="00293EFB"/>
    <w:rsid w:val="002E1B03"/>
    <w:rsid w:val="002F447D"/>
    <w:rsid w:val="00346EC4"/>
    <w:rsid w:val="003D6E9A"/>
    <w:rsid w:val="004161E5"/>
    <w:rsid w:val="00462B05"/>
    <w:rsid w:val="004729F5"/>
    <w:rsid w:val="00491B74"/>
    <w:rsid w:val="004C4263"/>
    <w:rsid w:val="004D093E"/>
    <w:rsid w:val="004D38E1"/>
    <w:rsid w:val="004D5C88"/>
    <w:rsid w:val="004E6FC0"/>
    <w:rsid w:val="00504CE5"/>
    <w:rsid w:val="00537F20"/>
    <w:rsid w:val="00593D58"/>
    <w:rsid w:val="005C34E7"/>
    <w:rsid w:val="00602479"/>
    <w:rsid w:val="006054BD"/>
    <w:rsid w:val="0073620B"/>
    <w:rsid w:val="007417E5"/>
    <w:rsid w:val="007536EC"/>
    <w:rsid w:val="00772FB4"/>
    <w:rsid w:val="007A2849"/>
    <w:rsid w:val="007C2288"/>
    <w:rsid w:val="007F3886"/>
    <w:rsid w:val="008A2596"/>
    <w:rsid w:val="008D657F"/>
    <w:rsid w:val="008D778B"/>
    <w:rsid w:val="008F0A32"/>
    <w:rsid w:val="009F07DB"/>
    <w:rsid w:val="00A039E9"/>
    <w:rsid w:val="00A42E6D"/>
    <w:rsid w:val="00A64822"/>
    <w:rsid w:val="00AA2455"/>
    <w:rsid w:val="00AC435D"/>
    <w:rsid w:val="00AD357A"/>
    <w:rsid w:val="00AE3FF4"/>
    <w:rsid w:val="00AF7175"/>
    <w:rsid w:val="00B07BF8"/>
    <w:rsid w:val="00B27FB2"/>
    <w:rsid w:val="00B51755"/>
    <w:rsid w:val="00B67DF6"/>
    <w:rsid w:val="00B704FB"/>
    <w:rsid w:val="00B86ED5"/>
    <w:rsid w:val="00BA755E"/>
    <w:rsid w:val="00BB3585"/>
    <w:rsid w:val="00BE1799"/>
    <w:rsid w:val="00C10D19"/>
    <w:rsid w:val="00C52859"/>
    <w:rsid w:val="00C73E9B"/>
    <w:rsid w:val="00C90DAE"/>
    <w:rsid w:val="00CD0B82"/>
    <w:rsid w:val="00CD6EAE"/>
    <w:rsid w:val="00CE36C1"/>
    <w:rsid w:val="00CF15A2"/>
    <w:rsid w:val="00D35333"/>
    <w:rsid w:val="00D52AB9"/>
    <w:rsid w:val="00DA55D6"/>
    <w:rsid w:val="00DC45AC"/>
    <w:rsid w:val="00E13A22"/>
    <w:rsid w:val="00E16A97"/>
    <w:rsid w:val="00E83D91"/>
    <w:rsid w:val="00E905C0"/>
    <w:rsid w:val="00EF58DB"/>
    <w:rsid w:val="00F306D4"/>
    <w:rsid w:val="00F57C1E"/>
    <w:rsid w:val="00F70F5D"/>
    <w:rsid w:val="00F850FD"/>
    <w:rsid w:val="00F97321"/>
    <w:rsid w:val="00FC7FBC"/>
    <w:rsid w:val="00FE1D2C"/>
    <w:rsid w:val="00F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7A13"/>
  <w15:chartTrackingRefBased/>
  <w15:docId w15:val="{7072F7FD-2FE1-4594-B896-4A81F128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3D9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C90D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430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ga48gov</dc:creator>
  <cp:keywords/>
  <dc:description/>
  <cp:lastModifiedBy>ga48gov</cp:lastModifiedBy>
  <cp:revision>98</cp:revision>
  <dcterms:created xsi:type="dcterms:W3CDTF">2019-02-10T08:23:00Z</dcterms:created>
  <dcterms:modified xsi:type="dcterms:W3CDTF">2019-02-11T20:11:00Z</dcterms:modified>
</cp:coreProperties>
</file>