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9" w:rsidRDefault="00AD1419" w:rsidP="00AD1419">
      <w:pPr>
        <w:spacing w:line="240" w:lineRule="auto"/>
      </w:pPr>
      <w:r>
        <w:t>Fallen die nachfolgenden Personen in den persönlichen Geltungsbereich des Arbeitnehmererfindungsgesetzt? Doktoranden, Beamte (z.B. Professoren, akademische Räte) an Hochschulen, Auszubildende, Vertreter juristischer Personen (z.B. Geschäftsführer, Gesellschafter einer Firma)</w:t>
      </w:r>
    </w:p>
    <w:p w:rsidR="00AD1419" w:rsidRDefault="00AD1419" w:rsidP="00AD1419">
      <w:pPr>
        <w:spacing w:line="240" w:lineRule="auto"/>
      </w:pPr>
      <w:r>
        <w:t>Nenne sie die drei Schutzvoraussetzungen eines Geschmackmusters.</w:t>
      </w:r>
    </w:p>
    <w:p w:rsidR="00AD1419" w:rsidRDefault="00AD1419" w:rsidP="00AD1419">
      <w:pPr>
        <w:spacing w:line="240" w:lineRule="auto"/>
      </w:pPr>
      <w:r>
        <w:t>Welche der nachfolgenden Aussagen stellen die zutreffende Definition für Eigenart dar?</w:t>
      </w:r>
      <w:r>
        <w:br/>
        <w:t>1. Ein M</w:t>
      </w:r>
      <w:r w:rsidR="004B1CC5">
        <w:t>u</w:t>
      </w:r>
      <w:r>
        <w:t>ster hat Eigenart, wenn sich der Gesamt</w:t>
      </w:r>
      <w:r w:rsidR="004B1CC5">
        <w:t>eindruck, den es beim Fachmann h</w:t>
      </w:r>
      <w:r>
        <w:t>ervorruft, von dem Gesamteindruck unterscheidet, den ein anderes Muster hervorruft, das vor dem Veröffentlichungstag offenbart worden ist.</w:t>
      </w:r>
      <w:r>
        <w:br/>
        <w:t>2. Ein Muster hat Eigenart, wenn sich der Gesamteindruck, den es beim unbedarften Verbraucher hervorruf</w:t>
      </w:r>
      <w:r w:rsidR="004B1CC5">
        <w:t>t</w:t>
      </w:r>
      <w:bookmarkStart w:id="0" w:name="_GoBack"/>
      <w:bookmarkEnd w:id="0"/>
      <w:r>
        <w:t>, von dem Gesamteidruck unterschiedet, den ein anderes Muster hervorruft, das vor der Eintragung in das Register offenbart worden ist.</w:t>
      </w:r>
      <w:r>
        <w:br/>
        <w:t>3. Ein Muster hat Eigenart, wenn sich der Gesamteindruck, den es beim informeierten Benutzer hervorruft, von dem Gesamteindruck unterschiedet, den ein anderes Muster hervorruft, das vor dem Anmeldetag offenbart worden ist.</w:t>
      </w:r>
    </w:p>
    <w:p w:rsidR="00AD1419" w:rsidRDefault="00AD1419" w:rsidP="00AD1419">
      <w:pPr>
        <w:spacing w:line="240" w:lineRule="auto"/>
      </w:pPr>
      <w:r>
        <w:t>Laufzeit eines eigetragen Geschmackmusters</w:t>
      </w:r>
      <w:r>
        <w:br/>
        <w:t xml:space="preserve">1. Nennen Sie die einfache Laufzeit eines eingetragenen Geschmackmusters (nicht max Laufzeit) </w:t>
      </w:r>
      <w:r>
        <w:br/>
        <w:t>2. In welchen Jahresschnitten ist eine Verlängerung des eingetragenen Geschmackmuster möglich?</w:t>
      </w:r>
    </w:p>
    <w:p w:rsidR="00AD1419" w:rsidRDefault="00AD1419" w:rsidP="00AD1419">
      <w:pPr>
        <w:spacing w:line="240" w:lineRule="auto"/>
      </w:pPr>
      <w:r>
        <w:t>Wann beginnt die Berechnung der Neuheitsschonfrist?</w:t>
      </w:r>
      <w:r>
        <w:br/>
        <w:t>1. 12 Monate vor dem Anm</w:t>
      </w:r>
      <w:r w:rsidR="004B1CC5">
        <w:t>el</w:t>
      </w:r>
      <w:r>
        <w:t>dtag/Prioritätstag</w:t>
      </w:r>
      <w:r>
        <w:br/>
        <w:t>2. 12 Monate vor der Eintragung</w:t>
      </w:r>
      <w:r>
        <w:br/>
        <w:t>3. 12 Monate vor der Veröffentlichung</w:t>
      </w:r>
    </w:p>
    <w:p w:rsidR="00AD1419" w:rsidRDefault="00AD1419" w:rsidP="00AD1419">
      <w:pPr>
        <w:spacing w:line="240" w:lineRule="auto"/>
      </w:pPr>
      <w:r>
        <w:t>Nennen sie die Schutzdauer eines nicht eingetragenen EU-Geschmacksmusters.</w:t>
      </w:r>
    </w:p>
    <w:p w:rsidR="00AD1419" w:rsidRDefault="00AD1419" w:rsidP="00AD1419">
      <w:pPr>
        <w:spacing w:line="240" w:lineRule="auto"/>
      </w:pPr>
      <w:r>
        <w:t>Wie viele Länder umfasst der Gemeinschaftsgeschmacksmusterschutz?</w:t>
      </w:r>
    </w:p>
    <w:p w:rsidR="00AD1419" w:rsidRDefault="00AD1419" w:rsidP="00AD1419">
      <w:pPr>
        <w:spacing w:line="240" w:lineRule="auto"/>
      </w:pPr>
      <w:r>
        <w:t>Nenne Sie die zwei grundliegenden Lizenzarten</w:t>
      </w:r>
    </w:p>
    <w:p w:rsidR="00AD1419" w:rsidRDefault="00AD1419" w:rsidP="00AD1419">
      <w:pPr>
        <w:spacing w:line="240" w:lineRule="auto"/>
      </w:pPr>
      <w:r>
        <w:t>Nennen Sie zwei Möglichkeiten die Vertragsdauer ein einem Lizenzvertrags zu regeln.</w:t>
      </w:r>
    </w:p>
    <w:p w:rsidR="00AD1419" w:rsidRDefault="00AD1419" w:rsidP="00AD1419">
      <w:pPr>
        <w:spacing w:line="240" w:lineRule="auto"/>
      </w:pPr>
      <w:r>
        <w:t>Nennen sie zwei Punkte, die im Rahmen einer Regelung über die Geheimhaltung um Vertrag beinhaltet sein sollten.</w:t>
      </w:r>
    </w:p>
    <w:p w:rsidR="00AD1419" w:rsidRDefault="00AD1419" w:rsidP="00AD1419">
      <w:pPr>
        <w:spacing w:line="240" w:lineRule="auto"/>
      </w:pPr>
      <w:r>
        <w:t>Warum kann in Verträgen (auch Lizenzverträge) nahezu alles frei geregelt werden?</w:t>
      </w:r>
    </w:p>
    <w:p w:rsidR="00AD1419" w:rsidRDefault="00AD1419" w:rsidP="00AD1419">
      <w:pPr>
        <w:spacing w:line="240" w:lineRule="auto"/>
      </w:pPr>
      <w:r>
        <w:t>Welches Rechtsgebiert ist im Falle von Nichtangriffsklauseln in Lizenzverträgen zu berücksichtigen?</w:t>
      </w:r>
    </w:p>
    <w:p w:rsidR="00AD1419" w:rsidRDefault="00AD1419" w:rsidP="00AD1419">
      <w:pPr>
        <w:spacing w:line="240" w:lineRule="auto"/>
      </w:pPr>
      <w:r>
        <w:t xml:space="preserve">Wie nennt man eine Klausel welche die Rechtsfolgen aus </w:t>
      </w:r>
      <w:r w:rsidR="004B1CC5">
        <w:t>(Paragraph 133 (199) BGB ausgehebelt und zur Auslegung bzw. Umdeutung des Vertrages bei Lücken dient?</w:t>
      </w:r>
    </w:p>
    <w:p w:rsidR="004B1CC5" w:rsidRDefault="004B1CC5" w:rsidP="00AD1419">
      <w:pPr>
        <w:spacing w:line="240" w:lineRule="auto"/>
      </w:pPr>
      <w:r>
        <w:t>Gesteht eine Obliegenheit zur Eintragung einer Lizenz ins deutsche Markenregister?</w:t>
      </w:r>
    </w:p>
    <w:sectPr w:rsidR="004B1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78"/>
    <w:rsid w:val="00117EF9"/>
    <w:rsid w:val="00161B36"/>
    <w:rsid w:val="001C7D1E"/>
    <w:rsid w:val="004B1CC5"/>
    <w:rsid w:val="00AD1419"/>
    <w:rsid w:val="00E255B0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2019-02-03T16:39:00Z</dcterms:created>
  <dcterms:modified xsi:type="dcterms:W3CDTF">2019-02-03T16:53:00Z</dcterms:modified>
</cp:coreProperties>
</file>