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F20" w:rsidRPr="00263914" w:rsidRDefault="00263914" w:rsidP="00263914">
      <w:pPr>
        <w:spacing w:after="0"/>
        <w:jc w:val="center"/>
        <w:rPr>
          <w:b/>
          <w:sz w:val="32"/>
        </w:rPr>
      </w:pPr>
      <w:r w:rsidRPr="00263914">
        <w:rPr>
          <w:b/>
          <w:sz w:val="32"/>
        </w:rPr>
        <w:t>Patentrecht - Probeklausur</w:t>
      </w:r>
    </w:p>
    <w:p w:rsidR="009C6E88" w:rsidRDefault="009C6E88" w:rsidP="009C6E88">
      <w:pPr>
        <w:spacing w:after="0"/>
      </w:pPr>
    </w:p>
    <w:p w:rsidR="00263914" w:rsidRDefault="00263914" w:rsidP="009C6E88">
      <w:pPr>
        <w:spacing w:after="0"/>
      </w:pPr>
    </w:p>
    <w:p w:rsidR="009C6E88" w:rsidRPr="00831707" w:rsidRDefault="009C6E88" w:rsidP="009C6E88">
      <w:pPr>
        <w:spacing w:after="0"/>
        <w:rPr>
          <w:u w:val="single"/>
        </w:rPr>
      </w:pPr>
      <w:r w:rsidRPr="00831707">
        <w:rPr>
          <w:u w:val="single"/>
        </w:rPr>
        <w:t>A1. Sie haben die in der Figur gezeigte Erfindung „</w:t>
      </w:r>
      <w:proofErr w:type="spellStart"/>
      <w:r w:rsidRPr="00831707">
        <w:rPr>
          <w:u w:val="single"/>
        </w:rPr>
        <w:t>Beerbrella</w:t>
      </w:r>
      <w:proofErr w:type="spellEnd"/>
      <w:r w:rsidRPr="00831707">
        <w:rPr>
          <w:u w:val="single"/>
        </w:rPr>
        <w:t>“ gemacht:</w:t>
      </w:r>
    </w:p>
    <w:p w:rsidR="009C6E88" w:rsidRDefault="009C6E88" w:rsidP="009C6E88">
      <w:pPr>
        <w:pStyle w:val="Listenabsatz"/>
        <w:numPr>
          <w:ilvl w:val="0"/>
          <w:numId w:val="1"/>
        </w:numPr>
        <w:spacing w:after="0"/>
      </w:pPr>
      <w:r>
        <w:rPr>
          <w:noProof/>
        </w:rPr>
        <w:drawing>
          <wp:anchor distT="0" distB="0" distL="114300" distR="114300" simplePos="0" relativeHeight="251658240" behindDoc="0" locked="0" layoutInCell="1" allowOverlap="1" wp14:anchorId="4BCB22A6">
            <wp:simplePos x="0" y="0"/>
            <wp:positionH relativeFrom="column">
              <wp:posOffset>1180987</wp:posOffset>
            </wp:positionH>
            <wp:positionV relativeFrom="paragraph">
              <wp:posOffset>6455</wp:posOffset>
            </wp:positionV>
            <wp:extent cx="1166495" cy="13785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327" t="3514"/>
                    <a:stretch/>
                  </pic:blipFill>
                  <pic:spPr bwMode="auto">
                    <a:xfrm>
                      <a:off x="0" y="0"/>
                      <a:ext cx="1166495" cy="137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Flasche</w:t>
      </w:r>
    </w:p>
    <w:p w:rsidR="009C6E88" w:rsidRDefault="009C6E88" w:rsidP="009C6E88">
      <w:pPr>
        <w:pStyle w:val="Listenabsatz"/>
        <w:numPr>
          <w:ilvl w:val="0"/>
          <w:numId w:val="1"/>
        </w:numPr>
        <w:spacing w:after="0"/>
      </w:pPr>
      <w:r>
        <w:t>Klipp</w:t>
      </w:r>
    </w:p>
    <w:p w:rsidR="009C6E88" w:rsidRDefault="009C6E88" w:rsidP="009C6E88">
      <w:pPr>
        <w:pStyle w:val="Listenabsatz"/>
        <w:numPr>
          <w:ilvl w:val="0"/>
          <w:numId w:val="1"/>
        </w:numPr>
        <w:spacing w:after="0"/>
      </w:pPr>
      <w:r>
        <w:t>Schirm</w:t>
      </w:r>
    </w:p>
    <w:p w:rsidR="009C6E88" w:rsidRDefault="009C6E88" w:rsidP="009C6E88">
      <w:pPr>
        <w:pStyle w:val="Listenabsatz"/>
        <w:numPr>
          <w:ilvl w:val="0"/>
          <w:numId w:val="1"/>
        </w:numPr>
        <w:spacing w:after="0"/>
      </w:pPr>
      <w:r>
        <w:t>Logo</w:t>
      </w:r>
    </w:p>
    <w:p w:rsidR="009C6E88" w:rsidRDefault="009C6E88" w:rsidP="009C6E88">
      <w:pPr>
        <w:spacing w:after="0"/>
      </w:pPr>
    </w:p>
    <w:p w:rsidR="009C6E88" w:rsidRDefault="009C6E88" w:rsidP="009C6E88">
      <w:pPr>
        <w:spacing w:after="0"/>
      </w:pPr>
    </w:p>
    <w:p w:rsidR="009C6E88" w:rsidRDefault="009C6E88" w:rsidP="009C6E88">
      <w:pPr>
        <w:spacing w:after="0"/>
      </w:pPr>
    </w:p>
    <w:p w:rsidR="009C6E88" w:rsidRDefault="009C6E88" w:rsidP="009C6E88">
      <w:pPr>
        <w:spacing w:after="0"/>
      </w:pPr>
    </w:p>
    <w:p w:rsidR="009C6E88" w:rsidRDefault="009C6E88" w:rsidP="009C6E88">
      <w:pPr>
        <w:pStyle w:val="Listenabsatz"/>
        <w:numPr>
          <w:ilvl w:val="0"/>
          <w:numId w:val="2"/>
        </w:numPr>
        <w:spacing w:after="0"/>
      </w:pPr>
      <w:r>
        <w:t>Welche technische Aufgabe löst die Erfindung?</w:t>
      </w:r>
    </w:p>
    <w:p w:rsidR="009C6E88" w:rsidRDefault="009C6E88" w:rsidP="009C6E88">
      <w:pPr>
        <w:pStyle w:val="Listenabsatz"/>
        <w:numPr>
          <w:ilvl w:val="0"/>
          <w:numId w:val="2"/>
        </w:numPr>
        <w:spacing w:after="0"/>
      </w:pPr>
      <w:r>
        <w:t>Welche weiteren technischen Vorteile bietet die Erfindung?</w:t>
      </w:r>
    </w:p>
    <w:p w:rsidR="009C6E88" w:rsidRDefault="009C6E88" w:rsidP="009C6E88">
      <w:pPr>
        <w:pStyle w:val="Listenabsatz"/>
        <w:numPr>
          <w:ilvl w:val="0"/>
          <w:numId w:val="2"/>
        </w:numPr>
        <w:spacing w:after="0"/>
      </w:pPr>
      <w:r>
        <w:t>Welche gewerblichen Schutzrechte kommen prinzipiell in Frage, um die oben gezeigte technische Vorrichtung, deren Form und das Logo, zu Schützen</w:t>
      </w:r>
    </w:p>
    <w:p w:rsidR="009C6E88" w:rsidRDefault="009C6E88" w:rsidP="009C6E88">
      <w:pPr>
        <w:pStyle w:val="Listenabsatz"/>
        <w:numPr>
          <w:ilvl w:val="1"/>
          <w:numId w:val="2"/>
        </w:numPr>
        <w:spacing w:after="0"/>
      </w:pPr>
      <w:r>
        <w:t>c1) Schutzrecht zum Schutz der Vorrichtung:</w:t>
      </w:r>
    </w:p>
    <w:p w:rsidR="009C6E88" w:rsidRDefault="009C6E88" w:rsidP="009C6E88">
      <w:pPr>
        <w:pStyle w:val="Listenabsatz"/>
        <w:numPr>
          <w:ilvl w:val="1"/>
          <w:numId w:val="2"/>
        </w:numPr>
        <w:spacing w:after="0"/>
      </w:pPr>
      <w:r>
        <w:t>c2) Schutzrecht zum Schutz der Form der Flasche:</w:t>
      </w:r>
    </w:p>
    <w:p w:rsidR="009C6E88" w:rsidRDefault="009C6E88" w:rsidP="009C6E88">
      <w:pPr>
        <w:pStyle w:val="Listenabsatz"/>
        <w:numPr>
          <w:ilvl w:val="1"/>
          <w:numId w:val="2"/>
        </w:numPr>
        <w:spacing w:after="0"/>
      </w:pPr>
      <w:r>
        <w:t>c3) Schutzrecht zum Schutz des Logos:</w:t>
      </w:r>
    </w:p>
    <w:p w:rsidR="009B0AEB" w:rsidRDefault="009B0AEB" w:rsidP="009B0AEB">
      <w:pPr>
        <w:pStyle w:val="Listenabsatz"/>
        <w:numPr>
          <w:ilvl w:val="0"/>
          <w:numId w:val="2"/>
        </w:numPr>
        <w:spacing w:after="0"/>
      </w:pPr>
      <w:r>
        <w:t>Bitte formulieren Sie einen Patentanspruch für die oben gezeigte Vorrichtung</w:t>
      </w:r>
    </w:p>
    <w:p w:rsidR="001A23ED" w:rsidRDefault="009B0AEB" w:rsidP="001A23ED">
      <w:pPr>
        <w:pStyle w:val="Listenabsatz"/>
        <w:numPr>
          <w:ilvl w:val="0"/>
          <w:numId w:val="2"/>
        </w:numPr>
        <w:spacing w:after="0"/>
      </w:pPr>
      <w:r>
        <w:t>Sie möchten die oben gezeigte technische Vorrichtung Patentschutz in Deutschland haben. Wo überall können Sie eine entsprechende Patentanmeldung einreichen?</w:t>
      </w:r>
    </w:p>
    <w:p w:rsidR="001A23ED" w:rsidRPr="006D72EC" w:rsidRDefault="001A23ED" w:rsidP="001A23ED">
      <w:pPr>
        <w:spacing w:after="0"/>
        <w:ind w:left="360"/>
        <w:rPr>
          <w:color w:val="FFFFFF" w:themeColor="background1"/>
        </w:rPr>
      </w:pPr>
      <w:r>
        <w:t xml:space="preserve">Lösung: </w:t>
      </w:r>
      <w:r w:rsidRPr="006D72EC">
        <w:rPr>
          <w:color w:val="FFFFFF" w:themeColor="background1"/>
        </w:rPr>
        <w:t xml:space="preserve">Patentamt, Patentinformationszentrum, </w:t>
      </w:r>
      <w:proofErr w:type="spellStart"/>
      <w:r w:rsidRPr="006D72EC">
        <w:rPr>
          <w:color w:val="FFFFFF" w:themeColor="background1"/>
        </w:rPr>
        <w:t>vlt</w:t>
      </w:r>
      <w:proofErr w:type="spellEnd"/>
      <w:r w:rsidRPr="006D72EC">
        <w:rPr>
          <w:color w:val="FFFFFF" w:themeColor="background1"/>
        </w:rPr>
        <w:t xml:space="preserve"> auch EPA</w:t>
      </w:r>
    </w:p>
    <w:p w:rsidR="009B0AEB" w:rsidRDefault="009B0AEB" w:rsidP="009B0AEB">
      <w:pPr>
        <w:spacing w:after="0"/>
      </w:pPr>
    </w:p>
    <w:p w:rsidR="009B0AEB" w:rsidRPr="00066E0D" w:rsidRDefault="009B0AEB" w:rsidP="009B0AEB">
      <w:pPr>
        <w:spacing w:after="0"/>
        <w:rPr>
          <w:u w:val="single"/>
        </w:rPr>
      </w:pPr>
      <w:r w:rsidRPr="00066E0D">
        <w:rPr>
          <w:u w:val="single"/>
        </w:rPr>
        <w:t xml:space="preserve">A2. Welche Bedingungen </w:t>
      </w:r>
      <w:proofErr w:type="gramStart"/>
      <w:r w:rsidRPr="00066E0D">
        <w:rPr>
          <w:u w:val="single"/>
        </w:rPr>
        <w:t>muss</w:t>
      </w:r>
      <w:proofErr w:type="gramEnd"/>
      <w:r w:rsidRPr="00066E0D">
        <w:rPr>
          <w:u w:val="single"/>
        </w:rPr>
        <w:t xml:space="preserve"> eine Erfindung allgemein erfüllen, damit sie patentiert wird?</w:t>
      </w:r>
    </w:p>
    <w:p w:rsidR="00066E0D" w:rsidRDefault="0064612C" w:rsidP="009B0AEB">
      <w:pPr>
        <w:spacing w:after="0"/>
      </w:pPr>
      <w:r>
        <w:t xml:space="preserve">Lösung: </w:t>
      </w:r>
      <w:r w:rsidRPr="0064612C">
        <w:rPr>
          <w:color w:val="FFFFFF" w:themeColor="background1"/>
        </w:rPr>
        <w:t xml:space="preserve">Neu, </w:t>
      </w:r>
      <w:proofErr w:type="spellStart"/>
      <w:r w:rsidRPr="0064612C">
        <w:rPr>
          <w:color w:val="FFFFFF" w:themeColor="background1"/>
        </w:rPr>
        <w:t>Technizität</w:t>
      </w:r>
      <w:proofErr w:type="spellEnd"/>
      <w:r w:rsidRPr="0064612C">
        <w:rPr>
          <w:color w:val="FFFFFF" w:themeColor="background1"/>
        </w:rPr>
        <w:t xml:space="preserve">, </w:t>
      </w:r>
      <w:proofErr w:type="gramStart"/>
      <w:r w:rsidRPr="0064612C">
        <w:rPr>
          <w:color w:val="FFFFFF" w:themeColor="background1"/>
        </w:rPr>
        <w:t>Gewerblich</w:t>
      </w:r>
      <w:proofErr w:type="gramEnd"/>
      <w:r w:rsidRPr="0064612C">
        <w:rPr>
          <w:color w:val="FFFFFF" w:themeColor="background1"/>
        </w:rPr>
        <w:t xml:space="preserve"> anwendbar, Erfinderische Tätigkeit</w:t>
      </w:r>
    </w:p>
    <w:p w:rsidR="00066E0D" w:rsidRPr="00066E0D" w:rsidRDefault="00066E0D" w:rsidP="009B0AEB">
      <w:pPr>
        <w:spacing w:after="0"/>
        <w:rPr>
          <w:u w:val="single"/>
        </w:rPr>
      </w:pPr>
      <w:r w:rsidRPr="00066E0D">
        <w:rPr>
          <w:u w:val="single"/>
        </w:rPr>
        <w:t xml:space="preserve">A3. Nach Erteilung des Patents für </w:t>
      </w:r>
      <w:r w:rsidR="00A221A7" w:rsidRPr="00066E0D">
        <w:rPr>
          <w:u w:val="single"/>
        </w:rPr>
        <w:t>Deutschland</w:t>
      </w:r>
      <w:r w:rsidRPr="00066E0D">
        <w:rPr>
          <w:u w:val="single"/>
        </w:rPr>
        <w:t xml:space="preserve"> ist der Schutzbereich des Patents in dreifacher Hinsicht begrenzt.</w:t>
      </w:r>
    </w:p>
    <w:p w:rsidR="00066E0D" w:rsidRDefault="000C7310" w:rsidP="00066E0D">
      <w:pPr>
        <w:pStyle w:val="Listenabsatz"/>
        <w:numPr>
          <w:ilvl w:val="0"/>
          <w:numId w:val="3"/>
        </w:numPr>
        <w:spacing w:after="0"/>
      </w:pPr>
      <w:r w:rsidRPr="000C7310">
        <w:rPr>
          <w:color w:val="FFFFFF" w:themeColor="background1"/>
        </w:rPr>
        <w:t>sachlic</w:t>
      </w:r>
      <w:r>
        <w:t>h</w:t>
      </w:r>
    </w:p>
    <w:p w:rsidR="00066E0D" w:rsidRDefault="000C7310" w:rsidP="00066E0D">
      <w:pPr>
        <w:pStyle w:val="Listenabsatz"/>
        <w:numPr>
          <w:ilvl w:val="0"/>
          <w:numId w:val="3"/>
        </w:numPr>
        <w:spacing w:after="0"/>
      </w:pPr>
      <w:r w:rsidRPr="000C7310">
        <w:rPr>
          <w:color w:val="FFFFFF" w:themeColor="background1"/>
        </w:rPr>
        <w:t>zeitlic</w:t>
      </w:r>
      <w:r>
        <w:t>h</w:t>
      </w:r>
    </w:p>
    <w:p w:rsidR="00066E0D" w:rsidRDefault="000C7310" w:rsidP="00066E0D">
      <w:pPr>
        <w:pStyle w:val="Listenabsatz"/>
        <w:numPr>
          <w:ilvl w:val="0"/>
          <w:numId w:val="3"/>
        </w:numPr>
        <w:spacing w:after="0"/>
      </w:pPr>
      <w:r w:rsidRPr="000C7310">
        <w:rPr>
          <w:color w:val="FFFFFF" w:themeColor="background1"/>
        </w:rPr>
        <w:t>räumlic</w:t>
      </w:r>
      <w:r>
        <w:t>h</w:t>
      </w:r>
    </w:p>
    <w:p w:rsidR="00066E0D" w:rsidRDefault="00066E0D" w:rsidP="00066E0D">
      <w:pPr>
        <w:spacing w:after="0"/>
      </w:pPr>
    </w:p>
    <w:p w:rsidR="00066E0D" w:rsidRPr="00642436" w:rsidRDefault="00642436" w:rsidP="00066E0D">
      <w:pPr>
        <w:spacing w:after="0"/>
        <w:rPr>
          <w:u w:val="single"/>
        </w:rPr>
      </w:pPr>
      <w:r w:rsidRPr="00642436">
        <w:rPr>
          <w:u w:val="single"/>
        </w:rPr>
        <w:t>A4. Welche/s Gericht/e sind für</w:t>
      </w:r>
    </w:p>
    <w:p w:rsidR="00642436" w:rsidRDefault="00642436" w:rsidP="00642436">
      <w:pPr>
        <w:pStyle w:val="Listenabsatz"/>
        <w:numPr>
          <w:ilvl w:val="0"/>
          <w:numId w:val="4"/>
        </w:numPr>
        <w:spacing w:after="0"/>
      </w:pPr>
      <w:r>
        <w:t>Patentverletzungsklagen zuständig?</w:t>
      </w:r>
      <w:r w:rsidR="00601B02">
        <w:t xml:space="preserve"> L: </w:t>
      </w:r>
      <w:r w:rsidR="00601B02" w:rsidRPr="00601B02">
        <w:rPr>
          <w:color w:val="FFFFFF" w:themeColor="background1"/>
        </w:rPr>
        <w:t>Landes, Oberlandes, Bundesgerichtshof</w:t>
      </w:r>
    </w:p>
    <w:p w:rsidR="00642436" w:rsidRDefault="00642436" w:rsidP="00642436">
      <w:pPr>
        <w:pStyle w:val="Listenabsatz"/>
        <w:numPr>
          <w:ilvl w:val="0"/>
          <w:numId w:val="4"/>
        </w:numPr>
        <w:spacing w:after="0"/>
      </w:pPr>
      <w:r>
        <w:t>Nichtigkeitsklagen zuständig?</w:t>
      </w:r>
      <w:r w:rsidR="00601B02">
        <w:t xml:space="preserve"> L: </w:t>
      </w:r>
      <w:r w:rsidR="00601B02" w:rsidRPr="00601B02">
        <w:rPr>
          <w:color w:val="FFFFFF" w:themeColor="background1"/>
        </w:rPr>
        <w:t>Bundesgerichtshof, Bundespatentgericht</w:t>
      </w:r>
    </w:p>
    <w:p w:rsidR="00334C19" w:rsidRDefault="00334C19" w:rsidP="00334C19">
      <w:pPr>
        <w:spacing w:after="0"/>
      </w:pPr>
    </w:p>
    <w:p w:rsidR="00334C19" w:rsidRPr="00CA7E2E" w:rsidRDefault="00642436" w:rsidP="00334C19">
      <w:pPr>
        <w:spacing w:after="0"/>
        <w:rPr>
          <w:u w:val="single"/>
        </w:rPr>
      </w:pPr>
      <w:r w:rsidRPr="00CA7E2E">
        <w:rPr>
          <w:u w:val="single"/>
        </w:rPr>
        <w:t xml:space="preserve">A5. Ist die fehlende Rechtsbeständigkeit eines Patentes eine zugelassene </w:t>
      </w:r>
      <w:r w:rsidR="00934D94" w:rsidRPr="00CA7E2E">
        <w:rPr>
          <w:u w:val="single"/>
        </w:rPr>
        <w:t>Verteidigungsmöglichkeiten</w:t>
      </w:r>
      <w:r w:rsidRPr="00CA7E2E">
        <w:rPr>
          <w:u w:val="single"/>
        </w:rPr>
        <w:t xml:space="preserve"> im Patentverletzungsverfahren?</w:t>
      </w:r>
    </w:p>
    <w:p w:rsidR="00642436" w:rsidRDefault="00601B02" w:rsidP="00334C19">
      <w:pPr>
        <w:spacing w:after="0"/>
      </w:pPr>
      <w:r>
        <w:t xml:space="preserve">L: </w:t>
      </w:r>
      <w:r w:rsidRPr="00601B02">
        <w:rPr>
          <w:color w:val="FFFFFF" w:themeColor="background1"/>
        </w:rPr>
        <w:t xml:space="preserve">keine zugelassene Verteidigung beim </w:t>
      </w:r>
      <w:proofErr w:type="spellStart"/>
      <w:r w:rsidRPr="00601B02">
        <w:rPr>
          <w:color w:val="FFFFFF" w:themeColor="background1"/>
        </w:rPr>
        <w:t>Landsgericht</w:t>
      </w:r>
      <w:proofErr w:type="spellEnd"/>
    </w:p>
    <w:p w:rsidR="00CA7E2E" w:rsidRPr="00CA7E2E" w:rsidRDefault="00CA7E2E" w:rsidP="00334C19">
      <w:pPr>
        <w:spacing w:after="0"/>
        <w:rPr>
          <w:u w:val="single"/>
        </w:rPr>
      </w:pPr>
      <w:r w:rsidRPr="00CA7E2E">
        <w:rPr>
          <w:u w:val="single"/>
        </w:rPr>
        <w:t>A6. Veröffentlichung</w:t>
      </w:r>
    </w:p>
    <w:p w:rsidR="00CA7E2E" w:rsidRDefault="00CA7E2E" w:rsidP="00CA7E2E">
      <w:pPr>
        <w:pStyle w:val="Listenabsatz"/>
        <w:numPr>
          <w:ilvl w:val="0"/>
          <w:numId w:val="5"/>
        </w:numPr>
        <w:spacing w:after="0"/>
      </w:pPr>
      <w:r>
        <w:t>Nach wie vielen Monaten wird eine Patentan</w:t>
      </w:r>
      <w:r w:rsidR="00CD6E99">
        <w:t>m</w:t>
      </w:r>
      <w:r>
        <w:t>eldung spätestens veröffentlicht? (Single Choice)</w:t>
      </w:r>
    </w:p>
    <w:p w:rsidR="00CA7E2E" w:rsidRDefault="00CA7E2E" w:rsidP="00CA7E2E">
      <w:pPr>
        <w:pStyle w:val="Listenabsatz"/>
        <w:numPr>
          <w:ilvl w:val="1"/>
          <w:numId w:val="5"/>
        </w:numPr>
        <w:spacing w:after="0"/>
      </w:pPr>
      <w:r>
        <w:t>12 Monaten</w:t>
      </w:r>
    </w:p>
    <w:p w:rsidR="00CA7E2E" w:rsidRPr="00601B02" w:rsidRDefault="00CA7E2E" w:rsidP="00CA7E2E">
      <w:pPr>
        <w:pStyle w:val="Listenabsatz"/>
        <w:numPr>
          <w:ilvl w:val="1"/>
          <w:numId w:val="5"/>
        </w:numPr>
        <w:spacing w:after="0"/>
        <w:rPr>
          <w:b/>
        </w:rPr>
      </w:pPr>
      <w:r w:rsidRPr="00601B02">
        <w:rPr>
          <w:b/>
        </w:rPr>
        <w:t>18 Monaten</w:t>
      </w:r>
    </w:p>
    <w:p w:rsidR="00CA7E2E" w:rsidRDefault="00CA7E2E" w:rsidP="00CA7E2E">
      <w:pPr>
        <w:pStyle w:val="Listenabsatz"/>
        <w:numPr>
          <w:ilvl w:val="1"/>
          <w:numId w:val="5"/>
        </w:numPr>
        <w:spacing w:after="0"/>
      </w:pPr>
      <w:r>
        <w:t>3 Monaten</w:t>
      </w:r>
    </w:p>
    <w:p w:rsidR="00CA7E2E" w:rsidRDefault="00CA7E2E" w:rsidP="00CA7E2E">
      <w:pPr>
        <w:pStyle w:val="Listenabsatz"/>
        <w:numPr>
          <w:ilvl w:val="0"/>
          <w:numId w:val="5"/>
        </w:numPr>
        <w:spacing w:after="0"/>
      </w:pPr>
      <w:r>
        <w:t>Was hat die Veröffentlich</w:t>
      </w:r>
      <w:r w:rsidR="00EA599D">
        <w:t>ung</w:t>
      </w:r>
      <w:r>
        <w:t xml:space="preserve"> der Patentanmeldung zur Folge?</w:t>
      </w:r>
    </w:p>
    <w:p w:rsidR="00CA7E2E" w:rsidRDefault="00601B02" w:rsidP="00601B02">
      <w:pPr>
        <w:spacing w:after="0"/>
        <w:ind w:left="360"/>
        <w:rPr>
          <w:color w:val="FFFFFF" w:themeColor="background1"/>
        </w:rPr>
      </w:pPr>
      <w:r>
        <w:t xml:space="preserve">L: </w:t>
      </w:r>
      <w:r w:rsidRPr="00BF073F">
        <w:rPr>
          <w:color w:val="FFFFFF" w:themeColor="background1"/>
        </w:rPr>
        <w:t>Stand</w:t>
      </w:r>
      <w:r w:rsidR="00635A96" w:rsidRPr="00BF073F">
        <w:rPr>
          <w:color w:val="FFFFFF" w:themeColor="background1"/>
        </w:rPr>
        <w:t xml:space="preserve"> der Technik</w:t>
      </w:r>
      <w:r w:rsidR="00BF073F" w:rsidRPr="00BF073F">
        <w:rPr>
          <w:color w:val="FFFFFF" w:themeColor="background1"/>
        </w:rPr>
        <w:t xml:space="preserve"> für die Öffentlichkeit</w:t>
      </w:r>
    </w:p>
    <w:p w:rsidR="00635A96" w:rsidRDefault="00635A96" w:rsidP="00601B02">
      <w:pPr>
        <w:spacing w:after="0"/>
        <w:ind w:left="360"/>
      </w:pPr>
    </w:p>
    <w:p w:rsidR="00CA7E2E" w:rsidRPr="000B6539" w:rsidRDefault="000B6539" w:rsidP="00334C19">
      <w:pPr>
        <w:spacing w:after="0"/>
        <w:rPr>
          <w:u w:val="single"/>
        </w:rPr>
      </w:pPr>
      <w:r w:rsidRPr="000B6539">
        <w:rPr>
          <w:u w:val="single"/>
        </w:rPr>
        <w:lastRenderedPageBreak/>
        <w:t>A7. Wie kann man ein erteiltes Patent angreifen?</w:t>
      </w:r>
    </w:p>
    <w:p w:rsidR="000B6539" w:rsidRDefault="00BF073F" w:rsidP="00334C19">
      <w:pPr>
        <w:spacing w:after="0"/>
      </w:pPr>
      <w:r>
        <w:t xml:space="preserve">L: </w:t>
      </w:r>
      <w:r w:rsidRPr="00BF073F">
        <w:rPr>
          <w:color w:val="FFFFFF" w:themeColor="background1"/>
        </w:rPr>
        <w:t>Einspruch, Nichtigkeitsklage</w:t>
      </w:r>
    </w:p>
    <w:p w:rsidR="000B6539" w:rsidRPr="00035972" w:rsidRDefault="00035972" w:rsidP="00334C19">
      <w:pPr>
        <w:spacing w:after="0"/>
        <w:rPr>
          <w:u w:val="single"/>
        </w:rPr>
      </w:pPr>
      <w:r w:rsidRPr="00035972">
        <w:rPr>
          <w:u w:val="single"/>
        </w:rPr>
        <w:t xml:space="preserve">A8. Nennen Sie 6 verschiedene direkte </w:t>
      </w:r>
      <w:r>
        <w:rPr>
          <w:u w:val="single"/>
        </w:rPr>
        <w:t>Verletzungshandlungen</w:t>
      </w:r>
      <w:r w:rsidRPr="00035972">
        <w:rPr>
          <w:u w:val="single"/>
        </w:rPr>
        <w:t xml:space="preserve"> in Bezug auf ein patentiertes Produkt:</w:t>
      </w:r>
      <w:r w:rsidR="00E07F23">
        <w:rPr>
          <w:u w:val="single"/>
        </w:rPr>
        <w:t xml:space="preserve"> </w:t>
      </w:r>
    </w:p>
    <w:p w:rsidR="000B6539" w:rsidRPr="00BF073F" w:rsidRDefault="00BF073F" w:rsidP="00334C19">
      <w:pPr>
        <w:spacing w:after="0"/>
        <w:rPr>
          <w:color w:val="FFFFFF" w:themeColor="background1"/>
        </w:rPr>
      </w:pPr>
      <w:r>
        <w:t xml:space="preserve">L: </w:t>
      </w:r>
      <w:r w:rsidRPr="00BF073F">
        <w:rPr>
          <w:color w:val="FFFFFF" w:themeColor="background1"/>
        </w:rPr>
        <w:t xml:space="preserve">besitzen, herstellen, verkaufen, importieren, </w:t>
      </w:r>
      <w:proofErr w:type="spellStart"/>
      <w:proofErr w:type="gramStart"/>
      <w:r w:rsidRPr="00BF073F">
        <w:rPr>
          <w:color w:val="FFFFFF" w:themeColor="background1"/>
        </w:rPr>
        <w:t>benutzen,exportieren</w:t>
      </w:r>
      <w:proofErr w:type="spellEnd"/>
      <w:proofErr w:type="gramEnd"/>
      <w:r w:rsidRPr="00BF073F">
        <w:rPr>
          <w:color w:val="FFFFFF" w:themeColor="background1"/>
        </w:rPr>
        <w:t>, in Verkehr bringen</w:t>
      </w:r>
    </w:p>
    <w:p w:rsidR="006104B6" w:rsidRPr="006704E5" w:rsidRDefault="006104B6" w:rsidP="00334C19">
      <w:pPr>
        <w:spacing w:after="0"/>
        <w:rPr>
          <w:u w:val="single"/>
        </w:rPr>
      </w:pPr>
      <w:r w:rsidRPr="006704E5">
        <w:rPr>
          <w:u w:val="single"/>
        </w:rPr>
        <w:t xml:space="preserve">A9. Nennen Sie drei Anforderungen an eine </w:t>
      </w:r>
      <w:r w:rsidR="005E04CD" w:rsidRPr="006704E5">
        <w:rPr>
          <w:u w:val="single"/>
        </w:rPr>
        <w:t>Erfindungsmeldung</w:t>
      </w:r>
      <w:r w:rsidRPr="006704E5">
        <w:rPr>
          <w:u w:val="single"/>
        </w:rPr>
        <w:t>:</w:t>
      </w:r>
    </w:p>
    <w:p w:rsidR="006104B6" w:rsidRDefault="00BF073F" w:rsidP="00334C19">
      <w:pPr>
        <w:spacing w:after="0"/>
      </w:pPr>
      <w:r>
        <w:t xml:space="preserve">L: </w:t>
      </w:r>
      <w:r w:rsidRPr="00BF073F">
        <w:rPr>
          <w:color w:val="FFFFFF" w:themeColor="background1"/>
        </w:rPr>
        <w:t>Zeichnung, Beschreibung, Ansprüche, Zusammenfassung, Antrag</w:t>
      </w:r>
    </w:p>
    <w:p w:rsidR="006104B6" w:rsidRPr="006704E5" w:rsidRDefault="006104B6" w:rsidP="00334C19">
      <w:pPr>
        <w:spacing w:after="0"/>
        <w:rPr>
          <w:u w:val="single"/>
        </w:rPr>
      </w:pPr>
      <w:r w:rsidRPr="006704E5">
        <w:rPr>
          <w:u w:val="single"/>
        </w:rPr>
        <w:t>A10. Wann wird eine Diensterfindung frei?</w:t>
      </w:r>
    </w:p>
    <w:p w:rsidR="006104B6" w:rsidRDefault="00D24CC5" w:rsidP="00D24CC5">
      <w:pPr>
        <w:spacing w:after="0"/>
      </w:pPr>
      <w:r>
        <w:t>Wenn der Arbeitgeber sie innerhalb von</w:t>
      </w:r>
      <w:r w:rsidR="00265E74">
        <w:t xml:space="preserve"> (Single-Choi</w:t>
      </w:r>
      <w:r w:rsidR="00C82CB2">
        <w:t>c</w:t>
      </w:r>
      <w:r w:rsidR="00265E74">
        <w:t>e)</w:t>
      </w:r>
    </w:p>
    <w:p w:rsidR="00D24CC5" w:rsidRDefault="00D24CC5" w:rsidP="00D24CC5">
      <w:pPr>
        <w:pStyle w:val="Listenabsatz"/>
        <w:numPr>
          <w:ilvl w:val="0"/>
          <w:numId w:val="7"/>
        </w:numPr>
        <w:spacing w:after="0"/>
      </w:pPr>
      <w:r>
        <w:t>2 Monaten</w:t>
      </w:r>
    </w:p>
    <w:p w:rsidR="00D24CC5" w:rsidRDefault="00D24CC5" w:rsidP="00D24CC5">
      <w:pPr>
        <w:pStyle w:val="Listenabsatz"/>
        <w:numPr>
          <w:ilvl w:val="0"/>
          <w:numId w:val="7"/>
        </w:numPr>
        <w:spacing w:after="0"/>
      </w:pPr>
      <w:r>
        <w:t>3 Monaten</w:t>
      </w:r>
    </w:p>
    <w:p w:rsidR="00D24CC5" w:rsidRPr="00BF073F" w:rsidRDefault="00D24CC5" w:rsidP="00D24CC5">
      <w:pPr>
        <w:pStyle w:val="Listenabsatz"/>
        <w:numPr>
          <w:ilvl w:val="0"/>
          <w:numId w:val="7"/>
        </w:numPr>
        <w:spacing w:after="0"/>
        <w:rPr>
          <w:b/>
        </w:rPr>
      </w:pPr>
      <w:r w:rsidRPr="00BF073F">
        <w:rPr>
          <w:b/>
        </w:rPr>
        <w:t>4 Monaten</w:t>
      </w:r>
    </w:p>
    <w:p w:rsidR="00D24CC5" w:rsidRDefault="00D24CC5" w:rsidP="00D24CC5">
      <w:pPr>
        <w:spacing w:after="0"/>
      </w:pPr>
      <w:r>
        <w:t>Dem Arbeitnehmer gegenüber freigibt.</w:t>
      </w:r>
    </w:p>
    <w:p w:rsidR="00D24CC5" w:rsidRDefault="00D24CC5" w:rsidP="00D24CC5">
      <w:pPr>
        <w:spacing w:after="0"/>
      </w:pPr>
    </w:p>
    <w:p w:rsidR="00AB7259" w:rsidRPr="004B680F" w:rsidRDefault="00AB7259" w:rsidP="00D24CC5">
      <w:pPr>
        <w:spacing w:after="0"/>
        <w:rPr>
          <w:u w:val="single"/>
        </w:rPr>
      </w:pPr>
      <w:r w:rsidRPr="004B680F">
        <w:rPr>
          <w:u w:val="single"/>
        </w:rPr>
        <w:t>A11. Welche Wirkung hat die Inanspruchnahme der Erfindung durch den Arbeitgeber?</w:t>
      </w:r>
    </w:p>
    <w:p w:rsidR="000B6539" w:rsidRDefault="00BF073F" w:rsidP="00334C19">
      <w:pPr>
        <w:spacing w:after="0"/>
      </w:pPr>
      <w:r>
        <w:t xml:space="preserve">L: </w:t>
      </w:r>
      <w:r w:rsidRPr="00BF073F">
        <w:rPr>
          <w:color w:val="FFFFFF" w:themeColor="background1"/>
        </w:rPr>
        <w:t>Vergütung innerhalb von 3 Monaten nach Patenterteilung festzusetzen. Arbeitgeber verpflichtet zum Anmelden</w:t>
      </w:r>
    </w:p>
    <w:p w:rsidR="00334C19" w:rsidRDefault="00334C19" w:rsidP="00334C19">
      <w:pPr>
        <w:spacing w:after="0"/>
      </w:pPr>
    </w:p>
    <w:p w:rsidR="00B253D6" w:rsidRDefault="00B253D6" w:rsidP="00B253D6">
      <w:pPr>
        <w:spacing w:line="240" w:lineRule="auto"/>
      </w:pPr>
      <w:r>
        <w:t xml:space="preserve">Fallen die nachfolgenden Personen in den persönlichen Geltungsbereich des Arbeitnehmererfindungsgesetzt? </w:t>
      </w:r>
      <w:proofErr w:type="gramStart"/>
      <w:r>
        <w:t>Doktoranden</w:t>
      </w:r>
      <w:r w:rsidR="003C6A0D">
        <w:t>?</w:t>
      </w:r>
      <w:r>
        <w:t>,</w:t>
      </w:r>
      <w:proofErr w:type="gramEnd"/>
      <w:r>
        <w:t xml:space="preserve"> </w:t>
      </w:r>
      <w:r w:rsidRPr="003C6A0D">
        <w:rPr>
          <w:b/>
        </w:rPr>
        <w:t>Beamte</w:t>
      </w:r>
      <w:r>
        <w:t xml:space="preserve"> (z.B. Professoren, akademische Räte) an Hochschulen, </w:t>
      </w:r>
      <w:r w:rsidRPr="003C6A0D">
        <w:rPr>
          <w:b/>
        </w:rPr>
        <w:t>Auszubildende</w:t>
      </w:r>
      <w:r>
        <w:t>, Vertreter juristischer Personen (z.B. Geschäftsführer, Gesellschafter einer Firma)</w:t>
      </w:r>
    </w:p>
    <w:p w:rsidR="00B253D6" w:rsidRDefault="00B253D6" w:rsidP="00B253D6">
      <w:pPr>
        <w:spacing w:line="240" w:lineRule="auto"/>
      </w:pPr>
      <w:r>
        <w:t>Nenne sie die drei Schutzvoraussetzungen eines Geschmackmusters.</w:t>
      </w:r>
    </w:p>
    <w:p w:rsidR="003C6A0D" w:rsidRDefault="003C6A0D" w:rsidP="00B253D6">
      <w:pPr>
        <w:spacing w:line="240" w:lineRule="auto"/>
      </w:pPr>
      <w:proofErr w:type="gramStart"/>
      <w:r>
        <w:t>L:</w:t>
      </w:r>
      <w:r w:rsidRPr="003C6A0D">
        <w:rPr>
          <w:color w:val="FFFFFF" w:themeColor="background1"/>
        </w:rPr>
        <w:t>eigenart</w:t>
      </w:r>
      <w:proofErr w:type="gramEnd"/>
      <w:r w:rsidRPr="003C6A0D">
        <w:rPr>
          <w:color w:val="FFFFFF" w:themeColor="background1"/>
        </w:rPr>
        <w:t>, neu, geeigneter Schutzgegenstand</w:t>
      </w:r>
    </w:p>
    <w:p w:rsidR="00B253D6" w:rsidRDefault="00B253D6" w:rsidP="00B253D6">
      <w:pPr>
        <w:spacing w:line="240" w:lineRule="auto"/>
      </w:pPr>
      <w:r>
        <w:t>Welche der nachfolgenden Aussagen stellen die zutreffende Definition für Eigenart dar?</w:t>
      </w:r>
      <w:r>
        <w:br/>
        <w:t>1. Ein Muster hat Eigenart, wenn sich der Gesamteindruck, den es beim Fachmann hervorruft, von dem Gesamteindruck unterscheidet, den ein anderes Muster hervorruft, das vor dem Veröffentlichungstag offenbart worden ist.</w:t>
      </w:r>
      <w:r>
        <w:br/>
        <w:t>2. Ein Muster hat Eigenart, wenn sich der Gesamteindruck, den es beim unbedarften Verbraucher hervorruft, von dem Gesamteidruck unterschiedet, den ein anderes Muster hervorruft, das vor der Eintragung in das Register offenbart worden ist.</w:t>
      </w:r>
      <w:r>
        <w:br/>
      </w:r>
      <w:r w:rsidRPr="003C6A0D">
        <w:rPr>
          <w:b/>
        </w:rPr>
        <w:t>3</w:t>
      </w:r>
      <w:r>
        <w:t>. Ein Muster hat Eigenart, wenn sich der Gesamteindruck, den es beim informierten Benutzer hervorruft, von dem Gesamteindruck unterschiedet, den ein anderes Muster hervorruft, das vor dem Anmeldetag offenbart worden ist.</w:t>
      </w:r>
    </w:p>
    <w:p w:rsidR="00B253D6" w:rsidRPr="003C6A0D" w:rsidRDefault="00B253D6" w:rsidP="00B253D6">
      <w:pPr>
        <w:spacing w:line="240" w:lineRule="auto"/>
        <w:rPr>
          <w:color w:val="FF0000"/>
        </w:rPr>
      </w:pPr>
      <w:r>
        <w:t>Laufzeit eines eigetragen Geschmackmusters</w:t>
      </w:r>
      <w:r>
        <w:br/>
        <w:t xml:space="preserve">1. Nennen Sie die einfache Laufzeit eines eingetragenen Geschmackmusters (nicht </w:t>
      </w:r>
      <w:proofErr w:type="spellStart"/>
      <w:r>
        <w:t>max</w:t>
      </w:r>
      <w:proofErr w:type="spellEnd"/>
      <w:r>
        <w:t xml:space="preserve"> Laufzeit) </w:t>
      </w:r>
      <w:r w:rsidR="003C6A0D">
        <w:t xml:space="preserve">L </w:t>
      </w:r>
      <w:r w:rsidR="003C6A0D" w:rsidRPr="003C6A0D">
        <w:rPr>
          <w:color w:val="FFFFFF" w:themeColor="background1"/>
        </w:rPr>
        <w:t>5</w:t>
      </w:r>
      <w:r>
        <w:br/>
      </w:r>
      <w:r w:rsidRPr="003C6A0D">
        <w:rPr>
          <w:color w:val="FF0000"/>
        </w:rPr>
        <w:t>2. In welchen Jahresschnitten ist eine Verlängerung des eingetragenen Geschmackmuster möglich?</w:t>
      </w:r>
    </w:p>
    <w:p w:rsidR="00B253D6" w:rsidRDefault="00B253D6" w:rsidP="00B253D6">
      <w:pPr>
        <w:spacing w:line="240" w:lineRule="auto"/>
      </w:pPr>
      <w:r>
        <w:t>Wann beginnt die Berechnung der Neuheitsschonfrist?</w:t>
      </w:r>
      <w:r>
        <w:br/>
      </w:r>
      <w:r w:rsidRPr="003C6A0D">
        <w:rPr>
          <w:b/>
        </w:rPr>
        <w:t>1</w:t>
      </w:r>
      <w:r>
        <w:t>. 12 Monate vor dem Anmeldtag/Prioritätstag</w:t>
      </w:r>
      <w:r>
        <w:br/>
        <w:t>2. 12 Monate vor der Eintragung</w:t>
      </w:r>
      <w:r>
        <w:br/>
        <w:t>3. 12 Monate vor der Veröffentlichung</w:t>
      </w:r>
    </w:p>
    <w:p w:rsidR="00B253D6" w:rsidRDefault="00B253D6" w:rsidP="00B253D6">
      <w:pPr>
        <w:spacing w:line="240" w:lineRule="auto"/>
      </w:pPr>
      <w:r>
        <w:t>Nennen sie die Schutzdauer eines nicht eingetragenen EU-Geschmacksmusters.</w:t>
      </w:r>
      <w:r w:rsidR="003C6A0D">
        <w:t xml:space="preserve"> L </w:t>
      </w:r>
      <w:r w:rsidR="003C6A0D" w:rsidRPr="003C6A0D">
        <w:rPr>
          <w:color w:val="FFFFFF" w:themeColor="background1"/>
        </w:rPr>
        <w:t>3</w:t>
      </w:r>
    </w:p>
    <w:p w:rsidR="00B253D6" w:rsidRDefault="00B253D6" w:rsidP="00B253D6">
      <w:pPr>
        <w:spacing w:line="240" w:lineRule="auto"/>
      </w:pPr>
      <w:r>
        <w:t>Wie viele Länder umfasst der Gemeinschaftsgeschmacksmusterschutz?</w:t>
      </w:r>
      <w:r w:rsidR="003C6A0D">
        <w:t xml:space="preserve"> L </w:t>
      </w:r>
      <w:r w:rsidR="003C6A0D">
        <w:rPr>
          <w:color w:val="FFFFFF" w:themeColor="background1"/>
        </w:rPr>
        <w:t>2</w:t>
      </w:r>
      <w:r w:rsidR="003C6A0D" w:rsidRPr="003C6A0D">
        <w:rPr>
          <w:color w:val="FFFFFF" w:themeColor="background1"/>
        </w:rPr>
        <w:t>8</w:t>
      </w:r>
    </w:p>
    <w:p w:rsidR="00904DDA" w:rsidRPr="00904DDA" w:rsidRDefault="00B253D6" w:rsidP="00B253D6">
      <w:pPr>
        <w:spacing w:line="240" w:lineRule="auto"/>
        <w:rPr>
          <w:color w:val="FFFFFF" w:themeColor="background1"/>
        </w:rPr>
      </w:pPr>
      <w:r>
        <w:t>Nenne Sie die zwei grundliegenden Lizenzarten</w:t>
      </w:r>
      <w:r w:rsidR="003C6A0D">
        <w:t xml:space="preserve"> L: </w:t>
      </w:r>
      <w:r w:rsidR="003C6A0D" w:rsidRPr="003C6A0D">
        <w:rPr>
          <w:color w:val="FFFFFF" w:themeColor="background1"/>
        </w:rPr>
        <w:t>Ausschließliche, Einfache</w:t>
      </w:r>
    </w:p>
    <w:p w:rsidR="00B253D6" w:rsidRPr="00904DDA" w:rsidRDefault="00B253D6" w:rsidP="00B253D6">
      <w:pPr>
        <w:spacing w:line="240" w:lineRule="auto"/>
      </w:pPr>
      <w:r w:rsidRPr="00904DDA">
        <w:t xml:space="preserve">Nennen Sie zwei Möglichkeiten die Vertragsdauer ein </w:t>
      </w:r>
      <w:proofErr w:type="gramStart"/>
      <w:r w:rsidRPr="00904DDA">
        <w:t>einem Lizenzvertrags</w:t>
      </w:r>
      <w:proofErr w:type="gramEnd"/>
      <w:r w:rsidRPr="00904DDA">
        <w:t xml:space="preserve"> zu regeln.</w:t>
      </w:r>
    </w:p>
    <w:p w:rsidR="00904DDA" w:rsidRPr="00904DDA" w:rsidRDefault="00904DDA" w:rsidP="00904DDA">
      <w:pPr>
        <w:spacing w:line="240" w:lineRule="auto"/>
        <w:rPr>
          <w:color w:val="FFFFFF" w:themeColor="background1"/>
        </w:rPr>
      </w:pPr>
      <w:r>
        <w:t xml:space="preserve">L: </w:t>
      </w:r>
      <w:r w:rsidRPr="00904DDA">
        <w:rPr>
          <w:color w:val="FFFFFF" w:themeColor="background1"/>
        </w:rPr>
        <w:t>unbefristet mit Kündigungsmöglichkeit- befristet mit automatischer Verlängerung</w:t>
      </w:r>
      <w:r w:rsidRPr="00904DDA">
        <w:rPr>
          <w:color w:val="FFFFFF" w:themeColor="background1"/>
        </w:rPr>
        <w:t>, x-Jahre</w:t>
      </w:r>
    </w:p>
    <w:p w:rsidR="00B253D6" w:rsidRPr="00904DDA" w:rsidRDefault="00B253D6" w:rsidP="00B253D6">
      <w:pPr>
        <w:spacing w:line="240" w:lineRule="auto"/>
      </w:pPr>
      <w:r w:rsidRPr="00904DDA">
        <w:lastRenderedPageBreak/>
        <w:t>Nennen sie zwei Punkte, die im Rahmen einer Regelung über die Geheimhaltung um Vertrag beinhaltet sein sollten.</w:t>
      </w:r>
    </w:p>
    <w:p w:rsidR="00904DDA" w:rsidRPr="00904DDA" w:rsidRDefault="00904DDA" w:rsidP="00904DDA">
      <w:pPr>
        <w:spacing w:line="240" w:lineRule="auto"/>
      </w:pPr>
      <w:r w:rsidRPr="00904DDA">
        <w:t xml:space="preserve">L: </w:t>
      </w:r>
      <w:r w:rsidRPr="00904DDA">
        <w:rPr>
          <w:color w:val="FFFFFF" w:themeColor="background1"/>
        </w:rPr>
        <w:t>Pflicht zur Geheimhaltung- Dauer der Geheimhaltungspflicht</w:t>
      </w:r>
      <w:r w:rsidRPr="00904DDA">
        <w:rPr>
          <w:color w:val="FFFFFF" w:themeColor="background1"/>
        </w:rPr>
        <w:t xml:space="preserve"> </w:t>
      </w:r>
      <w:r w:rsidRPr="00904DDA">
        <w:rPr>
          <w:color w:val="FFFFFF" w:themeColor="background1"/>
        </w:rPr>
        <w:t xml:space="preserve">(insbesondere auch nach </w:t>
      </w:r>
      <w:proofErr w:type="gramStart"/>
      <w:r w:rsidRPr="00904DDA">
        <w:rPr>
          <w:color w:val="FFFFFF" w:themeColor="background1"/>
        </w:rPr>
        <w:t>Vertragsende)-</w:t>
      </w:r>
      <w:proofErr w:type="gramEnd"/>
      <w:r w:rsidRPr="00904DDA">
        <w:rPr>
          <w:color w:val="FFFFFF" w:themeColor="background1"/>
        </w:rPr>
        <w:t xml:space="preserve"> Umfang der Geheimhaltung</w:t>
      </w:r>
    </w:p>
    <w:p w:rsidR="00B253D6" w:rsidRDefault="00B253D6" w:rsidP="00B253D6">
      <w:pPr>
        <w:spacing w:line="240" w:lineRule="auto"/>
      </w:pPr>
      <w:r>
        <w:t>Warum kann in Verträgen (auch Lizenzverträge) nahezu alles frei geregelt werden?</w:t>
      </w:r>
      <w:r w:rsidR="00F2325D">
        <w:t xml:space="preserve"> L: </w:t>
      </w:r>
      <w:r w:rsidR="00F2325D" w:rsidRPr="00F2325D">
        <w:rPr>
          <w:color w:val="FFFFFF" w:themeColor="background1"/>
        </w:rPr>
        <w:t>grundsätzliche Gestaltungsfreiheiten, Grenzen finden sich im Gesetz</w:t>
      </w:r>
    </w:p>
    <w:p w:rsidR="00B253D6" w:rsidRPr="00F2325D" w:rsidRDefault="00B253D6" w:rsidP="00B253D6">
      <w:pPr>
        <w:spacing w:line="240" w:lineRule="auto"/>
        <w:rPr>
          <w:color w:val="FF0000"/>
        </w:rPr>
      </w:pPr>
      <w:r w:rsidRPr="00904DDA">
        <w:t>Welches Rechtsgebiet ist im Falle von Nichtangriffskla</w:t>
      </w:r>
      <w:bookmarkStart w:id="0" w:name="_GoBack"/>
      <w:bookmarkEnd w:id="0"/>
      <w:r w:rsidRPr="00904DDA">
        <w:t>useln in Lizenzverträgen zu berücksichtigen?</w:t>
      </w:r>
      <w:r w:rsidR="00904DDA" w:rsidRPr="00904DDA">
        <w:t xml:space="preserve"> L: </w:t>
      </w:r>
      <w:r w:rsidR="00904DDA" w:rsidRPr="00904DDA">
        <w:rPr>
          <w:color w:val="FFFFFF" w:themeColor="background1"/>
        </w:rPr>
        <w:t>Kartellrecht</w:t>
      </w:r>
    </w:p>
    <w:p w:rsidR="00B253D6" w:rsidRPr="00904DDA" w:rsidRDefault="00B253D6" w:rsidP="00B253D6">
      <w:pPr>
        <w:spacing w:line="240" w:lineRule="auto"/>
      </w:pPr>
      <w:r w:rsidRPr="00904DDA">
        <w:t>Wie nennt man eine Klausel welche die Rechtsfolgen aus (Paragraph 133 (199) BGB ausgehebelt und zur Auslegung bzw. Umdeutung des Vertrages bei Lücken dient?</w:t>
      </w:r>
      <w:r w:rsidR="00904DDA">
        <w:t xml:space="preserve"> L: </w:t>
      </w:r>
      <w:r w:rsidR="00904DDA" w:rsidRPr="00904DDA">
        <w:rPr>
          <w:color w:val="FFFFFF" w:themeColor="background1"/>
        </w:rPr>
        <w:t>salvatorische Klausel</w:t>
      </w:r>
    </w:p>
    <w:p w:rsidR="00B253D6" w:rsidRDefault="00B253D6" w:rsidP="00B253D6">
      <w:pPr>
        <w:spacing w:line="240" w:lineRule="auto"/>
      </w:pPr>
      <w:r>
        <w:t>Gesteht eine Obliegenheit zur Eintragung einer Lizenz ins deutsche Markenregister?</w:t>
      </w:r>
      <w:r w:rsidR="00D669BB">
        <w:t xml:space="preserve"> L: </w:t>
      </w:r>
      <w:r w:rsidR="00D669BB" w:rsidRPr="00D669BB">
        <w:rPr>
          <w:color w:val="FFFFFF" w:themeColor="background1"/>
        </w:rPr>
        <w:t>Nein</w:t>
      </w:r>
    </w:p>
    <w:p w:rsidR="00B253D6" w:rsidRDefault="00B253D6" w:rsidP="00334C19">
      <w:pPr>
        <w:spacing w:after="0"/>
      </w:pPr>
    </w:p>
    <w:p w:rsidR="00B253D6" w:rsidRDefault="00B253D6" w:rsidP="00B253D6">
      <w:r>
        <w:t>B1. Nennen sie jeweils 4 formale und 4 faktische Schutzinstrumente zur Kontrolle und zum Schutz von Erfindungen. Beschreiben Sie die Schutzinstrumente kurz hinsichtlich ihrer wirtschaftlichen Wirkung zur Aneignung von Erträgen aus der Vermarktung.</w:t>
      </w:r>
    </w:p>
    <w:p w:rsidR="00B253D6" w:rsidRDefault="00D669BB" w:rsidP="00B253D6">
      <w:r>
        <w:t xml:space="preserve">L: </w:t>
      </w:r>
      <w:r w:rsidRPr="00D669BB">
        <w:rPr>
          <w:color w:val="FFFFFF" w:themeColor="background1"/>
        </w:rPr>
        <w:t>Patent, Urheberrecht, Marke, Geschmacksmuster</w:t>
      </w:r>
    </w:p>
    <w:p w:rsidR="00D669BB" w:rsidRDefault="00D669BB" w:rsidP="00B253D6">
      <w:r>
        <w:t xml:space="preserve">L. </w:t>
      </w:r>
      <w:r w:rsidRPr="00D669BB">
        <w:rPr>
          <w:color w:val="FFFFFF" w:themeColor="background1"/>
        </w:rPr>
        <w:t>Designbezogene Geheimhaltung, Geheimhaltung, Zeitvorsprung, Kontrolle der ergänzenden Vermögenswerte</w:t>
      </w:r>
    </w:p>
    <w:p w:rsidR="00B253D6" w:rsidRDefault="00B253D6" w:rsidP="00B253D6"/>
    <w:p w:rsidR="00B253D6" w:rsidRDefault="00B253D6" w:rsidP="00B253D6">
      <w:r>
        <w:t>B2. Nennen und beschreiben Sie 6 der 8 verschiedenen Funktionen von Patenten.</w:t>
      </w:r>
    </w:p>
    <w:p w:rsidR="00B253D6" w:rsidRDefault="00456246" w:rsidP="00456246">
      <w:pPr>
        <w:shd w:val="clear" w:color="auto" w:fill="FFFFFF" w:themeFill="background1"/>
      </w:pPr>
      <w:r>
        <w:t xml:space="preserve">L. </w:t>
      </w:r>
      <w:r w:rsidRPr="00456246">
        <w:rPr>
          <w:color w:val="FFFFFF" w:themeColor="background1"/>
        </w:rPr>
        <w:t>Schutz, Reservieren/</w:t>
      </w:r>
      <w:proofErr w:type="gramStart"/>
      <w:r w:rsidRPr="00456246">
        <w:rPr>
          <w:color w:val="FFFFFF" w:themeColor="background1"/>
        </w:rPr>
        <w:t>Verbessern(</w:t>
      </w:r>
      <w:proofErr w:type="gramEnd"/>
      <w:r w:rsidRPr="00456246">
        <w:rPr>
          <w:color w:val="FFFFFF" w:themeColor="background1"/>
        </w:rPr>
        <w:t>zukünftige Produkte schützen), Informieren, Blockieren(Konkurrenz blockieren), Überschneidungslizenzierung (Cross), Lizensieren, Verwirren/Einschüchtern, Ruf/Motivation</w:t>
      </w:r>
    </w:p>
    <w:p w:rsidR="00B253D6" w:rsidRDefault="00B253D6" w:rsidP="00B253D6">
      <w:r>
        <w:t>B3. Ein IP-Geber bringt ein Patent in ein Unternehmen ein unter der Bedingung, dass die Verwertungsrechte im Misserfolgsfall auf ihn zurückfallen. Welche Logik zur Bewertung des Patents vor dem Hintergrund der Anteilsverteilung würden Sie am ehesten heranziehen?</w:t>
      </w:r>
    </w:p>
    <w:p w:rsidR="00B253D6" w:rsidRDefault="00B253D6" w:rsidP="00B253D6">
      <w:pPr>
        <w:pStyle w:val="Listenabsatz"/>
        <w:numPr>
          <w:ilvl w:val="0"/>
          <w:numId w:val="8"/>
        </w:numPr>
      </w:pPr>
      <w:r>
        <w:t>Das Patent wird behandelt wie jede andere Kapitaleinlage. Der IP-Geber partizipiert also genauso wie ein Anteilseigner, die Geldeinlagen getätigt haben.</w:t>
      </w:r>
    </w:p>
    <w:p w:rsidR="00B253D6" w:rsidRDefault="00B253D6" w:rsidP="00B253D6">
      <w:pPr>
        <w:pStyle w:val="Listenabsatz"/>
        <w:numPr>
          <w:ilvl w:val="0"/>
          <w:numId w:val="8"/>
        </w:numPr>
      </w:pPr>
      <w:r>
        <w:t>Der IP-Geber partizipiert nur bis zu einer bestimmten Obergrenze an der Wertentwicklung des Unternehmens, da er auf der anderen Seite kein Verlustrisiko trägt.</w:t>
      </w:r>
    </w:p>
    <w:p w:rsidR="00B253D6" w:rsidRDefault="00B253D6" w:rsidP="00B253D6">
      <w:pPr>
        <w:pStyle w:val="Listenabsatz"/>
        <w:numPr>
          <w:ilvl w:val="0"/>
          <w:numId w:val="8"/>
        </w:numPr>
      </w:pPr>
      <w:r>
        <w:t xml:space="preserve">Der Wert des Patentes wir im Vorfeld von einem unabhängigen Gutachter geschätzt. Im Erfolgsfall begleicht das Unternehmen diesen Schätzwert und das Patent geht bedingungslos in das Eigentum des Unternehmens über. </w:t>
      </w:r>
    </w:p>
    <w:p w:rsidR="00B253D6" w:rsidRPr="00EC3466" w:rsidRDefault="00B253D6" w:rsidP="00B253D6">
      <w:pPr>
        <w:rPr>
          <w:color w:val="FF0000"/>
        </w:rPr>
      </w:pPr>
      <w:r w:rsidRPr="00EC3466">
        <w:rPr>
          <w:color w:val="FF0000"/>
        </w:rPr>
        <w:t>B4. Durch ein IP-Strategie regelt die TUM künftig die Verwertungsmöglichkeiten von Patenten in Startups. Welchen Grundprinzipien folgt diese Regelung?</w:t>
      </w:r>
    </w:p>
    <w:p w:rsidR="00B253D6" w:rsidRDefault="00B253D6" w:rsidP="00B253D6">
      <w:pPr>
        <w:pStyle w:val="Listenabsatz"/>
        <w:numPr>
          <w:ilvl w:val="0"/>
          <w:numId w:val="9"/>
        </w:numPr>
      </w:pPr>
      <w:r>
        <w:t xml:space="preserve">Das Startup erhält die Möglichkeit, im Zuge der Unternehmensgründung das Patent zu einem Vorzugspreis zu erwerben. Dadurch entsteht größtmögliche Rechtssicherheit bezüglich der Patentsituation. </w:t>
      </w:r>
    </w:p>
    <w:p w:rsidR="00B253D6" w:rsidRDefault="00B253D6" w:rsidP="00B253D6">
      <w:pPr>
        <w:pStyle w:val="Listenabsatz"/>
        <w:numPr>
          <w:ilvl w:val="0"/>
          <w:numId w:val="9"/>
        </w:numPr>
      </w:pPr>
      <w:r>
        <w:t xml:space="preserve">Die TUM bietet einen Standart-Lizenzvertrag, wobei die Lizenzgebühren von der Umsatzentwicklung des Unternehmens abhängen, um das finanzielle Risiko für Startups zu </w:t>
      </w:r>
      <w:r>
        <w:lastRenderedPageBreak/>
        <w:t xml:space="preserve">minimieren. Das Eigentum des </w:t>
      </w:r>
      <w:proofErr w:type="spellStart"/>
      <w:r>
        <w:t>patentes</w:t>
      </w:r>
      <w:proofErr w:type="spellEnd"/>
      <w:r>
        <w:t xml:space="preserve"> selbst kann allerdings generell nicht von der TUM auf privatwirtschaftlich ausgerichtete Unternehmen übertragen werden. </w:t>
      </w:r>
    </w:p>
    <w:p w:rsidR="00B253D6" w:rsidRDefault="00B253D6" w:rsidP="00B253D6">
      <w:pPr>
        <w:pStyle w:val="Listenabsatz"/>
        <w:numPr>
          <w:ilvl w:val="0"/>
          <w:numId w:val="9"/>
        </w:numPr>
      </w:pPr>
      <w:r>
        <w:t xml:space="preserve">Ein Optionsmodell regelt den schrittweisen Übergang des Eigentums von TUM-patenten. Dabei erhält </w:t>
      </w:r>
      <w:proofErr w:type="gramStart"/>
      <w:r>
        <w:t>das Startup</w:t>
      </w:r>
      <w:proofErr w:type="gramEnd"/>
      <w:r>
        <w:t xml:space="preserve"> im Erfolgsfall die Möglichkeit des Erwerbs von Patenten. Eine alternative Verwertung im Misserfolgsfall wird dadurch sichergestellt.</w:t>
      </w:r>
    </w:p>
    <w:p w:rsidR="00B253D6" w:rsidRDefault="00B253D6" w:rsidP="00B253D6"/>
    <w:p w:rsidR="00B253D6" w:rsidRDefault="00B253D6" w:rsidP="00B253D6">
      <w:r>
        <w:t>Markenrecht</w:t>
      </w:r>
    </w:p>
    <w:p w:rsidR="00B253D6" w:rsidRDefault="00B253D6" w:rsidP="00B253D6">
      <w:r>
        <w:t>C1. Welche Kennzeichen kennen Sie?</w:t>
      </w:r>
      <w:r w:rsidR="00EC3466">
        <w:t xml:space="preserve"> L: </w:t>
      </w:r>
      <w:r w:rsidR="00EC3466" w:rsidRPr="00EC3466">
        <w:rPr>
          <w:color w:val="FFFFFF" w:themeColor="background1"/>
        </w:rPr>
        <w:t>Marken, Geschäftliche Bezeichnung, Geographische Herkunft</w:t>
      </w:r>
    </w:p>
    <w:p w:rsidR="00B253D6" w:rsidRDefault="00B253D6" w:rsidP="00B253D6">
      <w:r>
        <w:t>C2. Wie viele Klassen gibt es in der Nizzaer Markenklassifikation der Waren und Dienstleistungen? 45</w:t>
      </w:r>
    </w:p>
    <w:p w:rsidR="00B253D6" w:rsidRDefault="00B253D6" w:rsidP="00B253D6">
      <w:r>
        <w:t>C3. Warum würde das Amt das Wort „Limo“ nicht als reine Wortmarke für Getränke eintragen?</w:t>
      </w:r>
      <w:r w:rsidR="00EC3466">
        <w:t xml:space="preserve"> L: </w:t>
      </w:r>
      <w:r w:rsidR="00EC3466" w:rsidRPr="00EC3466">
        <w:rPr>
          <w:color w:val="FFFFFF" w:themeColor="background1"/>
        </w:rPr>
        <w:t>Freihaltebedürfnis, Fehlende Unterscheidungskraft</w:t>
      </w:r>
    </w:p>
    <w:p w:rsidR="00B253D6" w:rsidRDefault="00B253D6" w:rsidP="00B253D6">
      <w:r>
        <w:t>C4. Was ist ein relatives Schutzhindernis einer Markenanmeldung?</w:t>
      </w:r>
      <w:r w:rsidR="00EC3466">
        <w:t xml:space="preserve"> L: </w:t>
      </w:r>
      <w:r w:rsidR="00EC3466" w:rsidRPr="00EC3466">
        <w:rPr>
          <w:color w:val="FFFFFF" w:themeColor="background1"/>
        </w:rPr>
        <w:t>Verwechslungsgefahr</w:t>
      </w:r>
    </w:p>
    <w:p w:rsidR="00B253D6" w:rsidRDefault="00B253D6" w:rsidP="00EC3466">
      <w:pPr>
        <w:autoSpaceDE w:val="0"/>
        <w:autoSpaceDN w:val="0"/>
        <w:adjustRightInd w:val="0"/>
        <w:spacing w:after="0" w:line="240" w:lineRule="auto"/>
      </w:pPr>
      <w:r>
        <w:t>C5. Warum wurden die Zeichen „Ferro“ und „Ferrero“ trotz Unähnlichkeit der Waren dennoch nach der Wechselwirkungslehre als verwechselbar eingestuft?</w:t>
      </w:r>
      <w:r w:rsidR="00EC3466">
        <w:t xml:space="preserve"> L: </w:t>
      </w:r>
      <w:r w:rsidR="00EC3466" w:rsidRPr="00EC3466">
        <w:rPr>
          <w:color w:val="FFFFFF" w:themeColor="background1"/>
        </w:rPr>
        <w:t>Stark gesteigerte Kennzeichnungskraft wegen großer Bekanntheit</w:t>
      </w:r>
    </w:p>
    <w:p w:rsidR="00B253D6" w:rsidRDefault="00B253D6" w:rsidP="00B253D6">
      <w:r>
        <w:t>C6. Wie kann man eine rechtskräftig eingetragene Marke vernichten?</w:t>
      </w:r>
    </w:p>
    <w:p w:rsidR="00B253D6" w:rsidRDefault="00334135" w:rsidP="00334135">
      <w:pPr>
        <w:autoSpaceDE w:val="0"/>
        <w:autoSpaceDN w:val="0"/>
        <w:adjustRightInd w:val="0"/>
        <w:spacing w:after="0" w:line="240" w:lineRule="auto"/>
      </w:pPr>
      <w:r>
        <w:t xml:space="preserve">L: </w:t>
      </w:r>
      <w:r w:rsidRPr="00BB0A72">
        <w:rPr>
          <w:color w:val="FFFFFF" w:themeColor="background1"/>
        </w:rPr>
        <w:t>Löschung bei Nichtbenutzung, fehlender Unterscheidungskraft oder wegen Bestehens älterer Rechte.</w:t>
      </w:r>
    </w:p>
    <w:p w:rsidR="00B253D6" w:rsidRDefault="00B253D6" w:rsidP="00B253D6">
      <w:r>
        <w:t>C7. Was entsteht durch die Registrierung einer Domain?</w:t>
      </w:r>
    </w:p>
    <w:p w:rsidR="00B253D6" w:rsidRPr="00BB0A72" w:rsidRDefault="00B253D6" w:rsidP="00B253D6">
      <w:pPr>
        <w:pStyle w:val="Listenabsatz"/>
        <w:numPr>
          <w:ilvl w:val="0"/>
          <w:numId w:val="10"/>
        </w:numPr>
        <w:rPr>
          <w:b/>
        </w:rPr>
      </w:pPr>
      <w:r w:rsidRPr="00BB0A72">
        <w:rPr>
          <w:b/>
        </w:rPr>
        <w:t>Ein vertragliches Nutzungsrecht</w:t>
      </w:r>
    </w:p>
    <w:p w:rsidR="00B253D6" w:rsidRDefault="00B253D6" w:rsidP="00B253D6">
      <w:pPr>
        <w:pStyle w:val="Listenabsatz"/>
        <w:numPr>
          <w:ilvl w:val="0"/>
          <w:numId w:val="10"/>
        </w:numPr>
      </w:pPr>
      <w:r>
        <w:t>Ein kennzeichenrecht an dem Domainnamen</w:t>
      </w:r>
    </w:p>
    <w:p w:rsidR="00B253D6" w:rsidRDefault="00B253D6" w:rsidP="00B253D6">
      <w:pPr>
        <w:pStyle w:val="Listenabsatz"/>
        <w:numPr>
          <w:ilvl w:val="0"/>
          <w:numId w:val="10"/>
        </w:numPr>
      </w:pPr>
      <w:r>
        <w:t>Ein Eigentumsrecht</w:t>
      </w:r>
    </w:p>
    <w:p w:rsidR="00B253D6" w:rsidRDefault="00B253D6" w:rsidP="00B253D6">
      <w:r>
        <w:t>C8. Wann stellen ausländische Domains auch eine Schutzrechtsverletzung im Inland dar?</w:t>
      </w:r>
      <w:r w:rsidR="00BB0A72">
        <w:t xml:space="preserve"> L: </w:t>
      </w:r>
      <w:r w:rsidR="00BB0A72" w:rsidRPr="00BB0A72">
        <w:rPr>
          <w:color w:val="FFFFFF" w:themeColor="background1"/>
        </w:rPr>
        <w:t>bei hinreichend wirtschaftlich relevanten Inlandsbezug</w:t>
      </w:r>
    </w:p>
    <w:p w:rsidR="00B253D6" w:rsidRDefault="00B253D6" w:rsidP="00B253D6">
      <w:r>
        <w:t>C9. Wie kann auf eine markenrechtliche Abmahnung reagiert werden? Nenne Sie die 3 Möglichkeiten.</w:t>
      </w:r>
      <w:r w:rsidR="00BB0A72">
        <w:t xml:space="preserve"> L: </w:t>
      </w:r>
      <w:r w:rsidR="00BB0A72" w:rsidRPr="00BB0A72">
        <w:rPr>
          <w:color w:val="FFFFFF" w:themeColor="background1"/>
        </w:rPr>
        <w:t>Ablehnen, Schweigen, Unterlassungserklärung abgeben</w:t>
      </w:r>
    </w:p>
    <w:p w:rsidR="00B253D6" w:rsidRDefault="00B253D6" w:rsidP="00B253D6">
      <w:r>
        <w:t>C10. Nennen Sie die beiden Voraussetzungen einer einstweiligen Verfügung</w:t>
      </w:r>
      <w:r w:rsidR="00BB0A72">
        <w:t xml:space="preserve"> L: </w:t>
      </w:r>
      <w:r w:rsidR="00BB0A72" w:rsidRPr="00BB0A72">
        <w:rPr>
          <w:color w:val="FFFFFF" w:themeColor="background1"/>
        </w:rPr>
        <w:t>Dringlichkeit, Eilbedürftigkeit</w:t>
      </w:r>
    </w:p>
    <w:p w:rsidR="00B253D6" w:rsidRDefault="00B253D6" w:rsidP="00B253D6">
      <w:r w:rsidRPr="00BB0A72">
        <w:rPr>
          <w:color w:val="FF0000"/>
        </w:rPr>
        <w:t>C11. Bei welchem Gericht bzw. welcher Behörde ist eine einstweilige Verfügung in Markensachen einzutragen</w:t>
      </w:r>
      <w:r>
        <w:t>?</w:t>
      </w:r>
    </w:p>
    <w:p w:rsidR="00B253D6" w:rsidRDefault="00B253D6" w:rsidP="00B253D6">
      <w:pPr>
        <w:pStyle w:val="Listenabsatz"/>
        <w:numPr>
          <w:ilvl w:val="0"/>
          <w:numId w:val="11"/>
        </w:numPr>
      </w:pPr>
      <w:r>
        <w:t>Zuständiges Landgericht</w:t>
      </w:r>
    </w:p>
    <w:p w:rsidR="00B253D6" w:rsidRDefault="00B253D6" w:rsidP="00B253D6">
      <w:pPr>
        <w:pStyle w:val="Listenabsatz"/>
        <w:numPr>
          <w:ilvl w:val="0"/>
          <w:numId w:val="11"/>
        </w:numPr>
      </w:pPr>
      <w:r>
        <w:t>Zuständiges Amtsgericht</w:t>
      </w:r>
    </w:p>
    <w:p w:rsidR="00B253D6" w:rsidRDefault="00BB0A72" w:rsidP="00B253D6">
      <w:pPr>
        <w:pStyle w:val="Listenabsatz"/>
        <w:numPr>
          <w:ilvl w:val="0"/>
          <w:numId w:val="11"/>
        </w:numPr>
      </w:pPr>
      <w:r>
        <w:t>Bundespatentgericht</w:t>
      </w:r>
    </w:p>
    <w:p w:rsidR="00BB0A72" w:rsidRDefault="00BB0A72" w:rsidP="00B253D6">
      <w:pPr>
        <w:pStyle w:val="Listenabsatz"/>
        <w:numPr>
          <w:ilvl w:val="0"/>
          <w:numId w:val="11"/>
        </w:numPr>
      </w:pPr>
      <w:r>
        <w:t>Deutsches Patent und Markenamt</w:t>
      </w:r>
    </w:p>
    <w:p w:rsidR="00B253D6" w:rsidRDefault="00B253D6" w:rsidP="00B253D6">
      <w:r>
        <w:t>C12. Welche Ansprüche können dem Kläger neben einem Unterlassungsanspruch noch zustehen? Nennen Sie 3 weitere.</w:t>
      </w:r>
      <w:r w:rsidR="00BB0A72">
        <w:t xml:space="preserve"> L: </w:t>
      </w:r>
      <w:r w:rsidR="00D94B4F" w:rsidRPr="00D94B4F">
        <w:rPr>
          <w:color w:val="FFFFFF" w:themeColor="background1"/>
        </w:rPr>
        <w:t>Auskunft, Grenzbeschlagnahme, Vernichtung, Schadensersatz</w:t>
      </w:r>
    </w:p>
    <w:p w:rsidR="00B253D6" w:rsidRDefault="00B253D6" w:rsidP="00B253D6">
      <w:r>
        <w:t>C13. Wie kann sich der Beklagte in einem Markenverletzungsprozess verteidigen, welche Einrede kann er möglicherweise geltend machen?</w:t>
      </w:r>
      <w:r w:rsidR="00B762BA">
        <w:t xml:space="preserve"> L: </w:t>
      </w:r>
      <w:r w:rsidR="00B762BA" w:rsidRPr="009757F7">
        <w:rPr>
          <w:color w:val="FFFFFF" w:themeColor="background1"/>
        </w:rPr>
        <w:t>Nichtbenutzungseinrede</w:t>
      </w:r>
    </w:p>
    <w:p w:rsidR="00B253D6" w:rsidRDefault="00B253D6" w:rsidP="00334C19">
      <w:pPr>
        <w:spacing w:after="0"/>
      </w:pPr>
    </w:p>
    <w:sectPr w:rsidR="00B25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822"/>
    <w:multiLevelType w:val="hybridMultilevel"/>
    <w:tmpl w:val="5982406E"/>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3E679A"/>
    <w:multiLevelType w:val="hybridMultilevel"/>
    <w:tmpl w:val="9CF01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E746AA"/>
    <w:multiLevelType w:val="hybridMultilevel"/>
    <w:tmpl w:val="DF206E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F32149"/>
    <w:multiLevelType w:val="hybridMultilevel"/>
    <w:tmpl w:val="1F348346"/>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F253A4"/>
    <w:multiLevelType w:val="hybridMultilevel"/>
    <w:tmpl w:val="8D847612"/>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15:restartNumberingAfterBreak="0">
    <w:nsid w:val="5A3C0393"/>
    <w:multiLevelType w:val="hybridMultilevel"/>
    <w:tmpl w:val="4796C5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B5A92"/>
    <w:multiLevelType w:val="hybridMultilevel"/>
    <w:tmpl w:val="A01E2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BDC466F"/>
    <w:multiLevelType w:val="hybridMultilevel"/>
    <w:tmpl w:val="64663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B72939"/>
    <w:multiLevelType w:val="hybridMultilevel"/>
    <w:tmpl w:val="4EBCF5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70377A0"/>
    <w:multiLevelType w:val="hybridMultilevel"/>
    <w:tmpl w:val="8000F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0912C4"/>
    <w:multiLevelType w:val="hybridMultilevel"/>
    <w:tmpl w:val="4560F10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0"/>
  </w:num>
  <w:num w:numId="5">
    <w:abstractNumId w:val="0"/>
  </w:num>
  <w:num w:numId="6">
    <w:abstractNumId w:val="8"/>
  </w:num>
  <w:num w:numId="7">
    <w:abstractNumId w:val="1"/>
  </w:num>
  <w:num w:numId="8">
    <w:abstractNumId w:val="9"/>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88"/>
    <w:rsid w:val="00035972"/>
    <w:rsid w:val="00046918"/>
    <w:rsid w:val="00066E0D"/>
    <w:rsid w:val="000B6539"/>
    <w:rsid w:val="000C7310"/>
    <w:rsid w:val="001A23ED"/>
    <w:rsid w:val="00263914"/>
    <w:rsid w:val="00265E74"/>
    <w:rsid w:val="00293EFB"/>
    <w:rsid w:val="00334135"/>
    <w:rsid w:val="00334C19"/>
    <w:rsid w:val="003C6A0D"/>
    <w:rsid w:val="00456246"/>
    <w:rsid w:val="004B680F"/>
    <w:rsid w:val="00537F20"/>
    <w:rsid w:val="0055170B"/>
    <w:rsid w:val="005E04CD"/>
    <w:rsid w:val="00601B02"/>
    <w:rsid w:val="006104B6"/>
    <w:rsid w:val="00635A96"/>
    <w:rsid w:val="00642436"/>
    <w:rsid w:val="0064612C"/>
    <w:rsid w:val="006704E5"/>
    <w:rsid w:val="006D72EC"/>
    <w:rsid w:val="00831707"/>
    <w:rsid w:val="00904DDA"/>
    <w:rsid w:val="00934D94"/>
    <w:rsid w:val="009757F7"/>
    <w:rsid w:val="009B0AEB"/>
    <w:rsid w:val="009C6E88"/>
    <w:rsid w:val="00A221A7"/>
    <w:rsid w:val="00AB7259"/>
    <w:rsid w:val="00B253D6"/>
    <w:rsid w:val="00B762BA"/>
    <w:rsid w:val="00BB0A72"/>
    <w:rsid w:val="00BF073F"/>
    <w:rsid w:val="00C82CB2"/>
    <w:rsid w:val="00CA7E2E"/>
    <w:rsid w:val="00CD6E99"/>
    <w:rsid w:val="00D24CC5"/>
    <w:rsid w:val="00D669BB"/>
    <w:rsid w:val="00D94B4F"/>
    <w:rsid w:val="00DA20E0"/>
    <w:rsid w:val="00E07F23"/>
    <w:rsid w:val="00EA599D"/>
    <w:rsid w:val="00EC3466"/>
    <w:rsid w:val="00F2325D"/>
    <w:rsid w:val="00F852F3"/>
    <w:rsid w:val="00FB7C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0104"/>
  <w15:chartTrackingRefBased/>
  <w15:docId w15:val="{E4F1B4FC-7AD6-4C24-89A5-CF46C41F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2B33F-7F12-4C34-9AAC-80C74CFA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8208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ga92fay</cp:lastModifiedBy>
  <cp:revision>44</cp:revision>
  <dcterms:created xsi:type="dcterms:W3CDTF">2019-02-03T16:39:00Z</dcterms:created>
  <dcterms:modified xsi:type="dcterms:W3CDTF">2019-02-03T18:11:00Z</dcterms:modified>
</cp:coreProperties>
</file>