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7255" w14:textId="1B10FE3B" w:rsidR="00031C9C" w:rsidRPr="00367896" w:rsidRDefault="00031C9C" w:rsidP="00031C9C">
      <w:pPr>
        <w:spacing w:after="0"/>
        <w:jc w:val="center"/>
        <w:rPr>
          <w:b/>
          <w:sz w:val="28"/>
        </w:rPr>
      </w:pPr>
      <w:r>
        <w:rPr>
          <w:b/>
          <w:sz w:val="28"/>
        </w:rPr>
        <w:t>5</w:t>
      </w:r>
      <w:r w:rsidRPr="00367896">
        <w:rPr>
          <w:b/>
          <w:sz w:val="28"/>
        </w:rPr>
        <w:t xml:space="preserve">. Termin: </w:t>
      </w:r>
      <w:r>
        <w:rPr>
          <w:b/>
          <w:sz w:val="28"/>
        </w:rPr>
        <w:t>Schutz von Marken und Domains</w:t>
      </w:r>
    </w:p>
    <w:p w14:paraId="53FBD1F6" w14:textId="77777777" w:rsidR="00031C9C" w:rsidRDefault="00031C9C" w:rsidP="00031C9C">
      <w:pPr>
        <w:spacing w:after="0"/>
      </w:pPr>
    </w:p>
    <w:p w14:paraId="7EB2B536" w14:textId="1F42EA5D" w:rsidR="00031C9C" w:rsidRPr="0088106C" w:rsidRDefault="003A0F40" w:rsidP="00031C9C">
      <w:pPr>
        <w:spacing w:after="0"/>
        <w:rPr>
          <w:u w:val="single"/>
        </w:rPr>
      </w:pPr>
      <w:r>
        <w:rPr>
          <w:u w:val="single"/>
        </w:rPr>
        <w:t>Einleitung</w:t>
      </w:r>
      <w:r w:rsidR="006173BB">
        <w:rPr>
          <w:u w:val="single"/>
        </w:rPr>
        <w:t>:</w:t>
      </w:r>
    </w:p>
    <w:p w14:paraId="5BCDDC97" w14:textId="0CDA84F7" w:rsidR="00537F20" w:rsidRPr="004A0E50" w:rsidRDefault="004A0E50" w:rsidP="00031C9C">
      <w:pPr>
        <w:spacing w:after="0"/>
        <w:rPr>
          <w:b/>
        </w:rPr>
      </w:pPr>
      <w:r w:rsidRPr="004A0E50">
        <w:rPr>
          <w:b/>
        </w:rPr>
        <w:t>Kennzeichen</w:t>
      </w:r>
      <w:r>
        <w:rPr>
          <w:b/>
        </w:rPr>
        <w:t>:</w:t>
      </w:r>
    </w:p>
    <w:p w14:paraId="2AC89973" w14:textId="5613AF53" w:rsidR="004A0E50" w:rsidRDefault="002720CF" w:rsidP="004A0E50">
      <w:pPr>
        <w:pStyle w:val="Listenabsatz"/>
        <w:numPr>
          <w:ilvl w:val="0"/>
          <w:numId w:val="1"/>
        </w:numPr>
        <w:spacing w:after="0"/>
      </w:pPr>
      <w:r>
        <w:t>Marken</w:t>
      </w:r>
      <w:r w:rsidR="005F0227">
        <w:t xml:space="preserve"> (Kennzeichnung eines Produktes)</w:t>
      </w:r>
    </w:p>
    <w:p w14:paraId="7D28D35D" w14:textId="70AF7248" w:rsidR="002720CF" w:rsidRDefault="002720CF" w:rsidP="004A0E50">
      <w:pPr>
        <w:pStyle w:val="Listenabsatz"/>
        <w:numPr>
          <w:ilvl w:val="0"/>
          <w:numId w:val="1"/>
        </w:numPr>
        <w:spacing w:after="0"/>
      </w:pPr>
      <w:r>
        <w:t>Geschäftliche Bezeichnung</w:t>
      </w:r>
      <w:r w:rsidR="005F0227">
        <w:t xml:space="preserve"> (</w:t>
      </w:r>
      <w:r w:rsidR="00755DE8">
        <w:t>Kennzeichnung eines Unternehmens</w:t>
      </w:r>
      <w:r w:rsidR="005F0227">
        <w:t>)</w:t>
      </w:r>
    </w:p>
    <w:p w14:paraId="40DF10F7" w14:textId="3CC4D6B7" w:rsidR="002720CF" w:rsidRDefault="002720CF" w:rsidP="004A0E50">
      <w:pPr>
        <w:pStyle w:val="Listenabsatz"/>
        <w:numPr>
          <w:ilvl w:val="0"/>
          <w:numId w:val="1"/>
        </w:numPr>
        <w:spacing w:after="0"/>
      </w:pPr>
      <w:r>
        <w:t>Geographische Herkunftsangaben</w:t>
      </w:r>
      <w:r w:rsidR="0047157D">
        <w:t xml:space="preserve"> (</w:t>
      </w:r>
      <w:r w:rsidR="0060507C">
        <w:t>Kein Individualrecht</w:t>
      </w:r>
      <w:r w:rsidR="0047157D">
        <w:t>)</w:t>
      </w:r>
    </w:p>
    <w:p w14:paraId="22727473" w14:textId="77777777" w:rsidR="0060507C" w:rsidRDefault="0060507C" w:rsidP="00031C9C">
      <w:pPr>
        <w:spacing w:after="0"/>
      </w:pPr>
    </w:p>
    <w:p w14:paraId="537860C7" w14:textId="1BEA2E88" w:rsidR="00C23DBE" w:rsidRPr="0060507C" w:rsidRDefault="00C23DBE" w:rsidP="00031C9C">
      <w:pPr>
        <w:spacing w:after="0"/>
        <w:rPr>
          <w:u w:val="single"/>
        </w:rPr>
      </w:pPr>
      <w:r w:rsidRPr="0060507C">
        <w:rPr>
          <w:u w:val="single"/>
        </w:rPr>
        <w:t>Eintragungsverfahren von Marken</w:t>
      </w:r>
      <w:r w:rsidR="0060507C" w:rsidRPr="0060507C">
        <w:rPr>
          <w:u w:val="single"/>
        </w:rPr>
        <w:t>:</w:t>
      </w:r>
    </w:p>
    <w:p w14:paraId="034C054A" w14:textId="49FCCE06" w:rsidR="007D69A1" w:rsidRPr="007D69A1" w:rsidRDefault="007D69A1" w:rsidP="00031C9C">
      <w:pPr>
        <w:spacing w:after="0"/>
        <w:rPr>
          <w:b/>
        </w:rPr>
      </w:pPr>
      <w:r w:rsidRPr="007D69A1">
        <w:rPr>
          <w:b/>
        </w:rPr>
        <w:t>Was ist eine Marke</w:t>
      </w:r>
      <w:r>
        <w:rPr>
          <w:b/>
        </w:rPr>
        <w:t>:</w:t>
      </w:r>
    </w:p>
    <w:p w14:paraId="5EF38B09" w14:textId="79D871E0" w:rsidR="007D69A1" w:rsidRDefault="00323E9D" w:rsidP="00031C9C">
      <w:pPr>
        <w:spacing w:after="0"/>
      </w:pPr>
      <w:r w:rsidRPr="00323E9D">
        <w:t>Eine Marke</w:t>
      </w:r>
      <w:r>
        <w:t xml:space="preserve"> </w:t>
      </w:r>
      <w:r w:rsidRPr="00323E9D">
        <w:t xml:space="preserve">dient der Kennzeichnung von Waren oder Dienstleistungen eines Unternehmens. Schutzfähig sind Zeichen, die geeignet sind, Waren oder Dienstleistungen eines Unternehmens </w:t>
      </w:r>
      <w:r w:rsidRPr="00323E9D">
        <w:t>von denjenigen anderen Unternehmen</w:t>
      </w:r>
      <w:r w:rsidRPr="00323E9D">
        <w:t xml:space="preserve"> zu unterscheiden</w:t>
      </w:r>
      <w:r>
        <w:t>.</w:t>
      </w:r>
    </w:p>
    <w:p w14:paraId="1E09A6A9" w14:textId="41439D33" w:rsidR="007D69A1" w:rsidRDefault="007D69A1" w:rsidP="00031C9C">
      <w:pPr>
        <w:spacing w:after="0"/>
      </w:pPr>
    </w:p>
    <w:p w14:paraId="59F29082" w14:textId="62ED6FD9" w:rsidR="004D7898" w:rsidRPr="004D7898" w:rsidRDefault="004D7898" w:rsidP="00031C9C">
      <w:pPr>
        <w:spacing w:after="0"/>
        <w:rPr>
          <w:b/>
        </w:rPr>
      </w:pPr>
      <w:r w:rsidRPr="004D7898">
        <w:rPr>
          <w:b/>
        </w:rPr>
        <w:t>Markenformen:</w:t>
      </w:r>
    </w:p>
    <w:p w14:paraId="3C2536FF" w14:textId="79E2092A" w:rsidR="00661022" w:rsidRDefault="00661022" w:rsidP="00CD2FA7">
      <w:pPr>
        <w:pStyle w:val="Listenabsatz"/>
        <w:numPr>
          <w:ilvl w:val="0"/>
          <w:numId w:val="2"/>
        </w:numPr>
        <w:spacing w:after="0"/>
      </w:pPr>
      <w:proofErr w:type="spellStart"/>
      <w:r>
        <w:t>Einwortmarken</w:t>
      </w:r>
      <w:proofErr w:type="spellEnd"/>
      <w:r w:rsidR="00CD2FA7">
        <w:t xml:space="preserve"> oder </w:t>
      </w:r>
      <w:proofErr w:type="spellStart"/>
      <w:r>
        <w:t>Mehrwortmakrne</w:t>
      </w:r>
      <w:proofErr w:type="spellEnd"/>
    </w:p>
    <w:p w14:paraId="0CDC296B" w14:textId="2D827E4D" w:rsidR="00661022" w:rsidRDefault="00661022" w:rsidP="00661022">
      <w:pPr>
        <w:pStyle w:val="Listenabsatz"/>
        <w:numPr>
          <w:ilvl w:val="0"/>
          <w:numId w:val="2"/>
        </w:numPr>
        <w:spacing w:after="0"/>
      </w:pPr>
      <w:r>
        <w:t>Slogans</w:t>
      </w:r>
    </w:p>
    <w:p w14:paraId="023408B3" w14:textId="49D9E987" w:rsidR="00661022" w:rsidRDefault="00661022" w:rsidP="00661022">
      <w:pPr>
        <w:pStyle w:val="Listenabsatz"/>
        <w:numPr>
          <w:ilvl w:val="0"/>
          <w:numId w:val="2"/>
        </w:numPr>
        <w:spacing w:after="0"/>
      </w:pPr>
      <w:r>
        <w:t>Buchstaben/Zahlenfolgen oder -kombinationen</w:t>
      </w:r>
    </w:p>
    <w:p w14:paraId="47E0ACE8" w14:textId="0590C4B5" w:rsidR="003E008A" w:rsidRDefault="003E008A" w:rsidP="00661022">
      <w:pPr>
        <w:pStyle w:val="Listenabsatz"/>
        <w:numPr>
          <w:ilvl w:val="0"/>
          <w:numId w:val="2"/>
        </w:numPr>
        <w:spacing w:after="0"/>
      </w:pPr>
      <w:r>
        <w:t>Reine Bildmarken, Wort-/Bildmarken, Dreidimensionale Marken</w:t>
      </w:r>
    </w:p>
    <w:p w14:paraId="1DD6FCD1" w14:textId="00D902A7" w:rsidR="00034652" w:rsidRDefault="00034652" w:rsidP="00661022">
      <w:pPr>
        <w:pStyle w:val="Listenabsatz"/>
        <w:numPr>
          <w:ilvl w:val="0"/>
          <w:numId w:val="2"/>
        </w:numPr>
        <w:spacing w:after="0"/>
      </w:pPr>
      <w:r>
        <w:t>Weitere Markenformen</w:t>
      </w:r>
    </w:p>
    <w:p w14:paraId="204768E8" w14:textId="6DF800C0" w:rsidR="00034652" w:rsidRDefault="00034652" w:rsidP="00034652">
      <w:pPr>
        <w:pStyle w:val="Listenabsatz"/>
        <w:numPr>
          <w:ilvl w:val="1"/>
          <w:numId w:val="2"/>
        </w:numPr>
        <w:spacing w:after="0"/>
      </w:pPr>
      <w:r>
        <w:t>Positionsmarken, abstrakte Farbmarken, Hörmarken, Geruchs- und Geschmacksmarken, Tastmarken</w:t>
      </w:r>
    </w:p>
    <w:p w14:paraId="36C97FB8" w14:textId="06F36ADA" w:rsidR="00661022" w:rsidRDefault="00661022" w:rsidP="00661022">
      <w:pPr>
        <w:spacing w:after="0"/>
      </w:pPr>
    </w:p>
    <w:p w14:paraId="4356D0F0" w14:textId="2B7D68D0" w:rsidR="001F080D" w:rsidRPr="001F080D" w:rsidRDefault="001F080D" w:rsidP="00661022">
      <w:pPr>
        <w:spacing w:after="0"/>
        <w:rPr>
          <w:b/>
        </w:rPr>
      </w:pPr>
      <w:r w:rsidRPr="001F080D">
        <w:rPr>
          <w:b/>
        </w:rPr>
        <w:t>Internationales Klassifikationsabkommen von Nizza</w:t>
      </w:r>
      <w:r w:rsidRPr="001F080D">
        <w:rPr>
          <w:b/>
        </w:rPr>
        <w:t>:</w:t>
      </w:r>
    </w:p>
    <w:p w14:paraId="5F7B12E1" w14:textId="1DC75F47" w:rsidR="001F080D" w:rsidRDefault="001A6F98" w:rsidP="00661022">
      <w:pPr>
        <w:spacing w:after="0"/>
      </w:pPr>
      <w:r>
        <w:t>Produkte und Dienstleistungen werden in Klassen eingeteilt</w:t>
      </w:r>
      <w:r w:rsidR="004F405E">
        <w:t>.</w:t>
      </w:r>
    </w:p>
    <w:p w14:paraId="12F93396" w14:textId="276F9AF4" w:rsidR="001A6F98" w:rsidRDefault="001A6F98" w:rsidP="00661022">
      <w:pPr>
        <w:spacing w:after="0"/>
      </w:pPr>
      <w:r>
        <w:t xml:space="preserve">Eine Marke muss für </w:t>
      </w:r>
      <w:r w:rsidR="00E87DDA">
        <w:t>alle</w:t>
      </w:r>
      <w:r>
        <w:t xml:space="preserve"> Klassen eingetragen werden, für die sie </w:t>
      </w:r>
      <w:r w:rsidR="002815CD">
        <w:t>später</w:t>
      </w:r>
      <w:r w:rsidR="003A0664">
        <w:t xml:space="preserve"> auch schützen soll.</w:t>
      </w:r>
    </w:p>
    <w:p w14:paraId="4BF23FC2" w14:textId="77777777" w:rsidR="00661022" w:rsidRDefault="00661022" w:rsidP="00661022">
      <w:pPr>
        <w:spacing w:after="0"/>
      </w:pPr>
    </w:p>
    <w:p w14:paraId="4B9C2E72" w14:textId="13B5221F" w:rsidR="00C23DBE" w:rsidRDefault="00B4475B" w:rsidP="00031C9C">
      <w:pPr>
        <w:spacing w:after="0"/>
        <w:rPr>
          <w:b/>
        </w:rPr>
      </w:pPr>
      <w:r w:rsidRPr="009A3D3F">
        <w:rPr>
          <w:b/>
        </w:rPr>
        <w:t xml:space="preserve">Absolute </w:t>
      </w:r>
      <w:r w:rsidRPr="009A3D3F">
        <w:rPr>
          <w:b/>
        </w:rPr>
        <w:t>Schutzhindernisse</w:t>
      </w:r>
      <w:r w:rsidR="0003482F" w:rsidRPr="009A3D3F">
        <w:rPr>
          <w:b/>
        </w:rPr>
        <w:t>:</w:t>
      </w:r>
    </w:p>
    <w:p w14:paraId="26EACE17" w14:textId="4DCF7DAC" w:rsidR="003E6680" w:rsidRDefault="003E6680" w:rsidP="00031C9C">
      <w:pPr>
        <w:spacing w:after="0"/>
      </w:pPr>
      <w:r w:rsidRPr="003E6680">
        <w:t xml:space="preserve">Prüfung der </w:t>
      </w:r>
      <w:r w:rsidRPr="00B90E1C">
        <w:rPr>
          <w:u w:val="single"/>
        </w:rPr>
        <w:t>absoluten</w:t>
      </w:r>
      <w:r>
        <w:t xml:space="preserve"> </w:t>
      </w:r>
      <w:r w:rsidRPr="003E6680">
        <w:t xml:space="preserve">Schutzgründe erfolgt im Hinblick auf das öffentliche Interesse </w:t>
      </w:r>
      <w:r w:rsidR="00F739FC" w:rsidRPr="004C7B55">
        <w:rPr>
          <w:u w:val="single"/>
        </w:rPr>
        <w:t>automatisch</w:t>
      </w:r>
    </w:p>
    <w:p w14:paraId="19BC9827" w14:textId="24E1B610" w:rsidR="003452BA" w:rsidRPr="003E6680" w:rsidRDefault="003452BA" w:rsidP="00031C9C">
      <w:pPr>
        <w:spacing w:after="0"/>
      </w:pPr>
      <w:r w:rsidRPr="003452BA">
        <w:t xml:space="preserve">Bestimmte Zeichen dürfen nicht zugunsten einer Person/eines Unternehmens </w:t>
      </w:r>
      <w:r w:rsidRPr="004C7B55">
        <w:rPr>
          <w:u w:val="single"/>
        </w:rPr>
        <w:t>monopolisiert</w:t>
      </w:r>
      <w:r>
        <w:t xml:space="preserve"> </w:t>
      </w:r>
      <w:r w:rsidRPr="003452BA">
        <w:t>werden</w:t>
      </w:r>
    </w:p>
    <w:p w14:paraId="74FC829D" w14:textId="1B0F9936" w:rsidR="009A3D3F" w:rsidRDefault="009A3D3F" w:rsidP="009A3D3F">
      <w:pPr>
        <w:pStyle w:val="Listenabsatz"/>
        <w:numPr>
          <w:ilvl w:val="0"/>
          <w:numId w:val="3"/>
        </w:numPr>
        <w:spacing w:after="0"/>
      </w:pPr>
      <w:r>
        <w:t>Fehlende Unterscheidungskraft</w:t>
      </w:r>
      <w:r w:rsidR="008F0CED">
        <w:t xml:space="preserve"> (Apple-Beispiel: für </w:t>
      </w:r>
      <w:r w:rsidR="008F0CED" w:rsidRPr="002246E6">
        <w:rPr>
          <w:color w:val="FF0000"/>
        </w:rPr>
        <w:t>Apfel</w:t>
      </w:r>
      <w:r w:rsidR="008F0CED">
        <w:t xml:space="preserve">, für </w:t>
      </w:r>
      <w:r w:rsidR="008F0CED" w:rsidRPr="002246E6">
        <w:rPr>
          <w:color w:val="92D050"/>
        </w:rPr>
        <w:t>Smartphone</w:t>
      </w:r>
      <w:r w:rsidR="008F0CED">
        <w:t>)</w:t>
      </w:r>
    </w:p>
    <w:p w14:paraId="07129230" w14:textId="13902CE6" w:rsidR="009A3D3F" w:rsidRDefault="009A3D3F" w:rsidP="009A3D3F">
      <w:pPr>
        <w:pStyle w:val="Listenabsatz"/>
        <w:numPr>
          <w:ilvl w:val="0"/>
          <w:numId w:val="3"/>
        </w:numPr>
        <w:spacing w:after="0"/>
      </w:pPr>
      <w:r>
        <w:t>Freihaltebedürfnis</w:t>
      </w:r>
      <w:r w:rsidR="003619F0">
        <w:t xml:space="preserve"> (PS-</w:t>
      </w:r>
      <w:r w:rsidR="004620D0">
        <w:t>Beispiel</w:t>
      </w:r>
      <w:r w:rsidR="003619F0">
        <w:t xml:space="preserve">: für </w:t>
      </w:r>
      <w:r w:rsidR="003619F0" w:rsidRPr="004620D0">
        <w:rPr>
          <w:color w:val="FF0000"/>
        </w:rPr>
        <w:t>Fahrzeuge</w:t>
      </w:r>
      <w:r w:rsidR="003619F0">
        <w:t xml:space="preserve">, für </w:t>
      </w:r>
      <w:r w:rsidR="003619F0" w:rsidRPr="004620D0">
        <w:rPr>
          <w:color w:val="92D050"/>
        </w:rPr>
        <w:t>Kleidung</w:t>
      </w:r>
      <w:r w:rsidR="003619F0">
        <w:t>)</w:t>
      </w:r>
    </w:p>
    <w:p w14:paraId="2A119F6A" w14:textId="77777777" w:rsidR="009A3D3F" w:rsidRDefault="009A3D3F" w:rsidP="00031C9C">
      <w:pPr>
        <w:spacing w:after="0"/>
      </w:pPr>
    </w:p>
    <w:p w14:paraId="48813123" w14:textId="480E7B86" w:rsidR="00B4475B" w:rsidRPr="00B31024" w:rsidRDefault="00B4475B" w:rsidP="00031C9C">
      <w:pPr>
        <w:spacing w:after="0"/>
        <w:rPr>
          <w:b/>
        </w:rPr>
      </w:pPr>
      <w:r w:rsidRPr="00B31024">
        <w:rPr>
          <w:b/>
        </w:rPr>
        <w:t>Relative Schutzhindernisse</w:t>
      </w:r>
    </w:p>
    <w:p w14:paraId="154B07A8" w14:textId="5D247D8F" w:rsidR="00B4475B" w:rsidRDefault="00B90E1C" w:rsidP="00031C9C">
      <w:pPr>
        <w:spacing w:after="0"/>
      </w:pPr>
      <w:r w:rsidRPr="00B90E1C">
        <w:t xml:space="preserve">Prüfung der </w:t>
      </w:r>
      <w:r w:rsidRPr="00B90E1C">
        <w:rPr>
          <w:u w:val="single"/>
        </w:rPr>
        <w:t>relativen</w:t>
      </w:r>
      <w:r>
        <w:t xml:space="preserve"> </w:t>
      </w:r>
      <w:r w:rsidRPr="00B90E1C">
        <w:t xml:space="preserve">Schutzgründe auf </w:t>
      </w:r>
      <w:r w:rsidRPr="00B90E1C">
        <w:rPr>
          <w:u w:val="single"/>
        </w:rPr>
        <w:t>Antrag</w:t>
      </w:r>
      <w:r w:rsidRPr="00B90E1C">
        <w:t xml:space="preserve"> wegen etwaiger</w:t>
      </w:r>
      <w:r w:rsidR="00F20260">
        <w:t xml:space="preserve"> älterer Rechter Dritter</w:t>
      </w:r>
      <w:r w:rsidR="00440B46">
        <w:t>.</w:t>
      </w:r>
    </w:p>
    <w:p w14:paraId="5351F9DE" w14:textId="70F98191" w:rsidR="00B90E1C" w:rsidRDefault="00EA676C" w:rsidP="00031C9C">
      <w:pPr>
        <w:spacing w:after="0"/>
      </w:pPr>
      <w:r w:rsidRPr="00841E4C">
        <w:rPr>
          <w:u w:val="single"/>
        </w:rPr>
        <w:t>Voraussetzungen</w:t>
      </w:r>
      <w:r w:rsidRPr="00EA676C">
        <w:t>: wenn Verwechslungsgefahr besteht, kann die Markeneintragung gelöscht werden.</w:t>
      </w:r>
    </w:p>
    <w:p w14:paraId="0A74B4DD" w14:textId="3A4B27AD" w:rsidR="00B90E1C" w:rsidRDefault="00B90E1C" w:rsidP="00031C9C">
      <w:pPr>
        <w:spacing w:after="0"/>
      </w:pPr>
    </w:p>
    <w:p w14:paraId="41D64A94" w14:textId="53B015A4" w:rsidR="002A6AD2" w:rsidRPr="002A6AD2" w:rsidRDefault="002A6AD2" w:rsidP="00031C9C">
      <w:pPr>
        <w:spacing w:after="0"/>
        <w:rPr>
          <w:b/>
        </w:rPr>
      </w:pPr>
      <w:r w:rsidRPr="002A6AD2">
        <w:rPr>
          <w:b/>
        </w:rPr>
        <w:t>Beurteilungsfaktoren für die Verwechslungsgefahr</w:t>
      </w:r>
      <w:r w:rsidRPr="002A6AD2">
        <w:rPr>
          <w:b/>
        </w:rPr>
        <w:t>:</w:t>
      </w:r>
    </w:p>
    <w:p w14:paraId="42D5B2FE" w14:textId="6E8B1455" w:rsidR="002A6AD2" w:rsidRDefault="00F32101" w:rsidP="00031C9C">
      <w:pPr>
        <w:spacing w:after="0"/>
      </w:pPr>
      <w:r>
        <w:t>Wechselwirkung:</w:t>
      </w:r>
    </w:p>
    <w:p w14:paraId="45979A49" w14:textId="77777777" w:rsidR="00F32101" w:rsidRDefault="00F32101" w:rsidP="00F32101">
      <w:pPr>
        <w:pStyle w:val="Listenabsatz"/>
        <w:numPr>
          <w:ilvl w:val="0"/>
          <w:numId w:val="4"/>
        </w:numPr>
        <w:spacing w:after="0"/>
      </w:pPr>
      <w:r>
        <w:t>Ähnlichkeit der Zeichen (Schriftbild, Klang, Bedeutung)</w:t>
      </w:r>
    </w:p>
    <w:p w14:paraId="08A87E79" w14:textId="130844E7" w:rsidR="00F32101" w:rsidRDefault="00F32101" w:rsidP="00F32101">
      <w:pPr>
        <w:pStyle w:val="Listenabsatz"/>
        <w:numPr>
          <w:ilvl w:val="0"/>
          <w:numId w:val="4"/>
        </w:numPr>
        <w:spacing w:after="0"/>
      </w:pPr>
      <w:r>
        <w:t xml:space="preserve">Kennzeichnungskraft des </w:t>
      </w:r>
      <w:r w:rsidR="00F13952" w:rsidRPr="00F13952">
        <w:t xml:space="preserve">prioritätsälteren </w:t>
      </w:r>
      <w:r>
        <w:t>Zeichens</w:t>
      </w:r>
    </w:p>
    <w:p w14:paraId="6897F803" w14:textId="314C72F1" w:rsidR="00F32101" w:rsidRDefault="00F32101" w:rsidP="00F32101">
      <w:pPr>
        <w:pStyle w:val="Listenabsatz"/>
        <w:numPr>
          <w:ilvl w:val="0"/>
          <w:numId w:val="4"/>
        </w:numPr>
        <w:spacing w:after="0"/>
      </w:pPr>
      <w:r>
        <w:t xml:space="preserve">Ähnlichkeit der Waren/Dienstleistungen </w:t>
      </w:r>
    </w:p>
    <w:p w14:paraId="18E07E4D" w14:textId="5527DC81" w:rsidR="002A6AD2" w:rsidRDefault="002A6AD2" w:rsidP="00031C9C">
      <w:pPr>
        <w:spacing w:after="0"/>
      </w:pPr>
    </w:p>
    <w:p w14:paraId="7DF2F568" w14:textId="77777777" w:rsidR="00685C80" w:rsidRDefault="00685C80" w:rsidP="00031C9C">
      <w:pPr>
        <w:spacing w:after="0"/>
      </w:pPr>
      <w:r w:rsidRPr="00685C80">
        <w:rPr>
          <w:b/>
        </w:rPr>
        <w:t>Markenschutz beliebig oft verlängerbar</w:t>
      </w:r>
      <w:r w:rsidRPr="00685C80">
        <w:t xml:space="preserve"> in Zeitspannen von jeweils 10 Jahren.</w:t>
      </w:r>
    </w:p>
    <w:p w14:paraId="1F67DDF2" w14:textId="77777777" w:rsidR="00B34602" w:rsidRDefault="00685C80" w:rsidP="00031C9C">
      <w:pPr>
        <w:spacing w:after="0"/>
      </w:pPr>
      <w:r w:rsidRPr="00232193">
        <w:rPr>
          <w:b/>
        </w:rPr>
        <w:t>Aber</w:t>
      </w:r>
      <w:r w:rsidRPr="00685C80">
        <w:t>: Auch eine rechtskräftig eingetragene Marke ist prinzipiell durch Löschung vernichtbar!!!</w:t>
      </w:r>
    </w:p>
    <w:p w14:paraId="754332FA" w14:textId="62CF316D" w:rsidR="00685C80" w:rsidRDefault="00685C80" w:rsidP="00B34602">
      <w:pPr>
        <w:pStyle w:val="Listenabsatz"/>
        <w:numPr>
          <w:ilvl w:val="0"/>
          <w:numId w:val="5"/>
        </w:numPr>
        <w:spacing w:after="0"/>
      </w:pPr>
      <w:r w:rsidRPr="00685C80">
        <w:t>bei Nichtbenutzung, fehlender Unterscheidungskraft oder wegen Bestehens älterer Rechte</w:t>
      </w:r>
    </w:p>
    <w:p w14:paraId="73A56CED" w14:textId="2C50A28E" w:rsidR="00685C80" w:rsidRDefault="00685C80" w:rsidP="00031C9C">
      <w:pPr>
        <w:spacing w:after="0"/>
      </w:pPr>
    </w:p>
    <w:p w14:paraId="2C78EF23" w14:textId="77777777" w:rsidR="00685C80" w:rsidRDefault="00685C80" w:rsidP="00031C9C">
      <w:pPr>
        <w:spacing w:after="0"/>
      </w:pPr>
    </w:p>
    <w:p w14:paraId="66062943" w14:textId="65194AFE" w:rsidR="00C23DBE" w:rsidRDefault="00C23DBE" w:rsidP="00031C9C">
      <w:pPr>
        <w:spacing w:after="0"/>
        <w:rPr>
          <w:u w:val="single"/>
        </w:rPr>
      </w:pPr>
      <w:r w:rsidRPr="003D1051">
        <w:rPr>
          <w:u w:val="single"/>
        </w:rPr>
        <w:lastRenderedPageBreak/>
        <w:t>Domains</w:t>
      </w:r>
      <w:r w:rsidR="003D1051">
        <w:rPr>
          <w:u w:val="single"/>
        </w:rPr>
        <w:t>:</w:t>
      </w:r>
    </w:p>
    <w:p w14:paraId="00B2E0E7" w14:textId="3124AAAF" w:rsidR="000A6430" w:rsidRPr="000A6430" w:rsidRDefault="000A6430" w:rsidP="00031C9C">
      <w:pPr>
        <w:spacing w:after="0"/>
        <w:rPr>
          <w:b/>
        </w:rPr>
      </w:pPr>
      <w:r w:rsidRPr="000A6430">
        <w:rPr>
          <w:b/>
        </w:rPr>
        <w:t>Registrierung einer Domain</w:t>
      </w:r>
      <w:r w:rsidRPr="000A6430">
        <w:rPr>
          <w:b/>
        </w:rPr>
        <w:t>:</w:t>
      </w:r>
    </w:p>
    <w:p w14:paraId="6E462612" w14:textId="467B3BD3" w:rsidR="00D75036" w:rsidRPr="00204CA0" w:rsidRDefault="00204CA0" w:rsidP="00031C9C">
      <w:pPr>
        <w:spacing w:after="0"/>
      </w:pPr>
      <w:r w:rsidRPr="00204CA0">
        <w:t>Registrierung einer Domain bei der DENIC (</w:t>
      </w:r>
      <w:r>
        <w:sym w:font="Wingdings" w:char="F0E0"/>
      </w:r>
      <w:r>
        <w:t xml:space="preserve"> </w:t>
      </w:r>
      <w:r w:rsidRPr="0050613F">
        <w:rPr>
          <w:b/>
        </w:rPr>
        <w:t>keine inhaltliche Prüfung</w:t>
      </w:r>
      <w:r w:rsidRPr="00204CA0">
        <w:t xml:space="preserve"> oder Prüfung der Berechtigung des Anmelders)</w:t>
      </w:r>
    </w:p>
    <w:p w14:paraId="6DFD49FC" w14:textId="446B901C" w:rsidR="00204CA0" w:rsidRPr="00204CA0" w:rsidRDefault="00204CA0" w:rsidP="00031C9C">
      <w:pPr>
        <w:spacing w:after="0"/>
      </w:pPr>
      <w:r w:rsidRPr="00204CA0">
        <w:t xml:space="preserve">Durch die bloße Registrierung </w:t>
      </w:r>
      <w:r w:rsidRPr="00153AB0">
        <w:rPr>
          <w:b/>
        </w:rPr>
        <w:t>kein Kennzeichenrecht</w:t>
      </w:r>
      <w:r w:rsidRPr="00204CA0">
        <w:t xml:space="preserve"> an dem Domainnamen (lediglich vertragliches Nutzungsrecht)</w:t>
      </w:r>
      <w:r w:rsidR="00540712">
        <w:t xml:space="preserve">. </w:t>
      </w:r>
      <w:r w:rsidRPr="00204CA0">
        <w:t>Aber Domain kann Gegenstand eigener Kennzeichenrechte werden, beispielsweise als Unternehmenskennzeichen</w:t>
      </w:r>
      <w:r w:rsidR="00D75036">
        <w:t>.</w:t>
      </w:r>
    </w:p>
    <w:p w14:paraId="578EFCA7" w14:textId="77777777" w:rsidR="00204CA0" w:rsidRPr="00204CA0" w:rsidRDefault="00204CA0" w:rsidP="00031C9C">
      <w:pPr>
        <w:spacing w:after="0"/>
      </w:pPr>
    </w:p>
    <w:p w14:paraId="2DD90DC4" w14:textId="73DDA937" w:rsidR="00D067F5" w:rsidRPr="005133C9" w:rsidRDefault="00D067F5" w:rsidP="00031C9C">
      <w:pPr>
        <w:spacing w:after="0"/>
        <w:rPr>
          <w:b/>
        </w:rPr>
      </w:pPr>
      <w:r w:rsidRPr="005133C9">
        <w:rPr>
          <w:b/>
        </w:rPr>
        <w:t>Rechtsverletzende Benutzung</w:t>
      </w:r>
      <w:r w:rsidR="005133C9" w:rsidRPr="005133C9">
        <w:rPr>
          <w:b/>
        </w:rPr>
        <w:t>:</w:t>
      </w:r>
    </w:p>
    <w:p w14:paraId="54AB7AB5" w14:textId="77777777" w:rsidR="005063C7" w:rsidRDefault="005063C7" w:rsidP="005063C7">
      <w:pPr>
        <w:pStyle w:val="Listenabsatz"/>
        <w:numPr>
          <w:ilvl w:val="0"/>
          <w:numId w:val="6"/>
        </w:numPr>
        <w:spacing w:after="0"/>
      </w:pPr>
      <w:r w:rsidRPr="005063C7">
        <w:t>bloße Registrierung ≠ kennzeichenmäßige Benutzung</w:t>
      </w:r>
    </w:p>
    <w:p w14:paraId="0405A874" w14:textId="5C497ACB" w:rsidR="005063C7" w:rsidRDefault="005063C7" w:rsidP="005063C7">
      <w:pPr>
        <w:pStyle w:val="Listenabsatz"/>
        <w:numPr>
          <w:ilvl w:val="0"/>
          <w:numId w:val="6"/>
        </w:numPr>
        <w:spacing w:after="0"/>
      </w:pPr>
      <w:r>
        <w:t xml:space="preserve">weil </w:t>
      </w:r>
      <w:r w:rsidRPr="005063C7">
        <w:t>noch keine Benutzung für Waren/Dienstleistungen</w:t>
      </w:r>
    </w:p>
    <w:p w14:paraId="247E166D" w14:textId="6B98D4E6" w:rsidR="005063C7" w:rsidRDefault="005063C7" w:rsidP="00031C9C">
      <w:pPr>
        <w:pStyle w:val="Listenabsatz"/>
        <w:numPr>
          <w:ilvl w:val="0"/>
          <w:numId w:val="6"/>
        </w:numPr>
        <w:spacing w:after="0"/>
      </w:pPr>
      <w:r w:rsidRPr="005063C7">
        <w:t>Aber: Verbotsanspruch bspw. bei Erstbegehungsgefahr (Vorbereitungshandlungen)</w:t>
      </w:r>
    </w:p>
    <w:p w14:paraId="3609FFBC" w14:textId="59FB9B35" w:rsidR="00B4475B" w:rsidRDefault="005063C7" w:rsidP="00031C9C">
      <w:pPr>
        <w:spacing w:after="0"/>
      </w:pPr>
      <w:r w:rsidRPr="005063C7">
        <w:t xml:space="preserve">Bei </w:t>
      </w:r>
      <w:r w:rsidRPr="000551CE">
        <w:rPr>
          <w:b/>
        </w:rPr>
        <w:t>privater Nutzung</w:t>
      </w:r>
      <w:r w:rsidRPr="005063C7">
        <w:t xml:space="preserve"> der Homepage meist auch </w:t>
      </w:r>
      <w:r w:rsidRPr="00F81A11">
        <w:rPr>
          <w:b/>
        </w:rPr>
        <w:t>keine Verletzung</w:t>
      </w:r>
      <w:r w:rsidRPr="005063C7">
        <w:t>, weil keine kennzeichenmäßige Benutzung!</w:t>
      </w:r>
    </w:p>
    <w:p w14:paraId="1FBD2F1C" w14:textId="77777777" w:rsidR="00B4475B" w:rsidRDefault="00B4475B" w:rsidP="00031C9C">
      <w:pPr>
        <w:spacing w:after="0"/>
      </w:pPr>
      <w:bookmarkStart w:id="0" w:name="_GoBack"/>
    </w:p>
    <w:bookmarkEnd w:id="0"/>
    <w:p w14:paraId="6B851A6A" w14:textId="5477968B" w:rsidR="00C23DBE" w:rsidRPr="00444A14" w:rsidRDefault="00A47ACD" w:rsidP="00031C9C">
      <w:pPr>
        <w:spacing w:after="0"/>
        <w:rPr>
          <w:b/>
        </w:rPr>
      </w:pPr>
      <w:r w:rsidRPr="00444A14">
        <w:rPr>
          <w:b/>
        </w:rPr>
        <w:t>Verletzung von Marken</w:t>
      </w:r>
      <w:r w:rsidRPr="00444A14">
        <w:rPr>
          <w:b/>
        </w:rPr>
        <w:t>:</w:t>
      </w:r>
    </w:p>
    <w:p w14:paraId="0C06E3BC" w14:textId="2763F3EF" w:rsidR="00E377E7" w:rsidRDefault="00E377E7" w:rsidP="00031C9C">
      <w:pPr>
        <w:pStyle w:val="Listenabsatz"/>
        <w:numPr>
          <w:ilvl w:val="0"/>
          <w:numId w:val="7"/>
        </w:numPr>
        <w:spacing w:after="0"/>
      </w:pPr>
      <w:r w:rsidRPr="00E377E7">
        <w:t>Markeninhaber kann Unterlassungsansprüche gegenüber jedem Dritten geltend machen, der seine Marke unberechtigt zur Kennzeichnung einer Internet-Domain verwendet</w:t>
      </w:r>
      <w:r>
        <w:t>.</w:t>
      </w:r>
    </w:p>
    <w:p w14:paraId="186F077F" w14:textId="77777777" w:rsidR="00E377E7" w:rsidRDefault="00E377E7" w:rsidP="00E377E7">
      <w:pPr>
        <w:pStyle w:val="Listenabsatz"/>
        <w:numPr>
          <w:ilvl w:val="0"/>
          <w:numId w:val="7"/>
        </w:numPr>
        <w:spacing w:after="0"/>
      </w:pPr>
      <w:r w:rsidRPr="00E377E7">
        <w:t>Bei grenzüberschreitenden Fällen (ausländische Domains):</w:t>
      </w:r>
    </w:p>
    <w:p w14:paraId="0AD729CB" w14:textId="26C6170D" w:rsidR="00A47ACD" w:rsidRDefault="00E377E7" w:rsidP="00E377E7">
      <w:pPr>
        <w:pStyle w:val="Listenabsatz"/>
        <w:numPr>
          <w:ilvl w:val="1"/>
          <w:numId w:val="7"/>
        </w:numPr>
        <w:spacing w:after="0"/>
      </w:pPr>
      <w:r w:rsidRPr="00E377E7">
        <w:t>Schutzrechtsverletzung im Inland erforderlich; Angebot hinreichenden wirtschaftlich relevanten Inlandsbezugs</w:t>
      </w:r>
    </w:p>
    <w:p w14:paraId="5151CA1D" w14:textId="77777777" w:rsidR="00A47ACD" w:rsidRDefault="00A47ACD" w:rsidP="00031C9C">
      <w:pPr>
        <w:spacing w:after="0"/>
      </w:pPr>
    </w:p>
    <w:p w14:paraId="7588915C" w14:textId="78C528B8" w:rsidR="00031C9C" w:rsidRPr="00CD7B4C" w:rsidRDefault="00CD7B4C" w:rsidP="00031C9C">
      <w:pPr>
        <w:spacing w:after="0"/>
        <w:rPr>
          <w:b/>
        </w:rPr>
      </w:pPr>
      <w:r w:rsidRPr="00CD7B4C">
        <w:rPr>
          <w:b/>
        </w:rPr>
        <w:t>Verletzung von Marken –Verwechslungsgefahr?</w:t>
      </w:r>
    </w:p>
    <w:p w14:paraId="67FB348C" w14:textId="77777777" w:rsidR="00691324" w:rsidRDefault="00691324" w:rsidP="00691324">
      <w:pPr>
        <w:pStyle w:val="Listenabsatz"/>
        <w:numPr>
          <w:ilvl w:val="0"/>
          <w:numId w:val="8"/>
        </w:numPr>
        <w:spacing w:after="0"/>
      </w:pPr>
      <w:r w:rsidRPr="00691324">
        <w:t>Zeichenähnlichkeit</w:t>
      </w:r>
    </w:p>
    <w:p w14:paraId="7FBB6648" w14:textId="77777777" w:rsidR="00691324" w:rsidRDefault="00691324" w:rsidP="00691324">
      <w:pPr>
        <w:pStyle w:val="Listenabsatz"/>
        <w:numPr>
          <w:ilvl w:val="0"/>
          <w:numId w:val="8"/>
        </w:numPr>
        <w:spacing w:after="0"/>
      </w:pPr>
      <w:r w:rsidRPr="00691324">
        <w:t>Gesamteindruck einer Domain durch SLD bestimmt</w:t>
      </w:r>
    </w:p>
    <w:p w14:paraId="39165D33" w14:textId="4D59C629" w:rsidR="00031C9C" w:rsidRDefault="00691324" w:rsidP="00691324">
      <w:pPr>
        <w:pStyle w:val="Listenabsatz"/>
        <w:numPr>
          <w:ilvl w:val="0"/>
          <w:numId w:val="8"/>
        </w:numPr>
        <w:spacing w:after="0"/>
      </w:pPr>
      <w:r w:rsidRPr="00691324">
        <w:t>Ähnlichkeit der Waren/Dienstleistungen</w:t>
      </w:r>
    </w:p>
    <w:p w14:paraId="3A17C891" w14:textId="17CECC54" w:rsidR="00691324" w:rsidRDefault="0074059D" w:rsidP="00691324">
      <w:pPr>
        <w:spacing w:after="0"/>
      </w:pPr>
      <w:r>
        <w:t>f</w:t>
      </w:r>
      <w:r w:rsidR="00691324">
        <w:t>ühren zu:</w:t>
      </w:r>
    </w:p>
    <w:p w14:paraId="63A4D926" w14:textId="77777777" w:rsidR="00691324" w:rsidRDefault="00691324" w:rsidP="00691324">
      <w:pPr>
        <w:pStyle w:val="Listenabsatz"/>
        <w:numPr>
          <w:ilvl w:val="0"/>
          <w:numId w:val="8"/>
        </w:numPr>
        <w:spacing w:after="0"/>
      </w:pPr>
      <w:r w:rsidRPr="00691324">
        <w:t>Unterlassungsanspruch</w:t>
      </w:r>
    </w:p>
    <w:p w14:paraId="2D355F09" w14:textId="1D0F00F8" w:rsidR="00691324" w:rsidRDefault="00691324" w:rsidP="00691324">
      <w:pPr>
        <w:pStyle w:val="Listenabsatz"/>
        <w:numPr>
          <w:ilvl w:val="0"/>
          <w:numId w:val="8"/>
        </w:numPr>
        <w:spacing w:after="0"/>
      </w:pPr>
      <w:r w:rsidRPr="00691324">
        <w:t>Löschungsanspruch nur ausnahmsweise</w:t>
      </w:r>
    </w:p>
    <w:p w14:paraId="103AD5EC" w14:textId="0576BABD" w:rsidR="00E559E7" w:rsidRDefault="00E559E7" w:rsidP="00031C9C">
      <w:pPr>
        <w:spacing w:after="0"/>
      </w:pPr>
    </w:p>
    <w:p w14:paraId="36E688A0" w14:textId="4C5BF3B1" w:rsidR="000D30B0" w:rsidRPr="000D30B0" w:rsidRDefault="000D30B0" w:rsidP="00031C9C">
      <w:pPr>
        <w:spacing w:after="0"/>
        <w:rPr>
          <w:b/>
        </w:rPr>
      </w:pPr>
      <w:r w:rsidRPr="000D30B0">
        <w:rPr>
          <w:b/>
        </w:rPr>
        <w:t>Verfahrensrecht</w:t>
      </w:r>
      <w:r w:rsidRPr="000D30B0">
        <w:rPr>
          <w:b/>
        </w:rPr>
        <w:t>:</w:t>
      </w:r>
    </w:p>
    <w:p w14:paraId="1CA9E6B9" w14:textId="77777777" w:rsidR="00116AE3" w:rsidRDefault="00116AE3" w:rsidP="00116AE3">
      <w:pPr>
        <w:spacing w:after="0"/>
      </w:pPr>
      <w:r>
        <w:t>Wen kann man rechtlich belangen?</w:t>
      </w:r>
    </w:p>
    <w:p w14:paraId="212A18A4" w14:textId="77777777" w:rsidR="00440471" w:rsidRDefault="00116AE3" w:rsidP="00440471">
      <w:pPr>
        <w:spacing w:after="0"/>
      </w:pPr>
      <w:r>
        <w:t>Passivlegitimation</w:t>
      </w:r>
      <w:r w:rsidR="00440471">
        <w:t>:</w:t>
      </w:r>
    </w:p>
    <w:p w14:paraId="65BF89F0" w14:textId="1B0EC862" w:rsidR="00116AE3" w:rsidRDefault="00116AE3" w:rsidP="00440471">
      <w:pPr>
        <w:pStyle w:val="Listenabsatz"/>
        <w:numPr>
          <w:ilvl w:val="0"/>
          <w:numId w:val="10"/>
        </w:numPr>
        <w:spacing w:after="0"/>
      </w:pPr>
      <w:r>
        <w:t>des Domaininhabers und</w:t>
      </w:r>
    </w:p>
    <w:p w14:paraId="4DFC1F8F" w14:textId="77777777" w:rsidR="00116AE3" w:rsidRDefault="00116AE3" w:rsidP="00116AE3">
      <w:pPr>
        <w:pStyle w:val="Listenabsatz"/>
        <w:numPr>
          <w:ilvl w:val="0"/>
          <w:numId w:val="9"/>
        </w:numPr>
        <w:spacing w:after="0"/>
      </w:pPr>
      <w:r>
        <w:t>des Benutzers des Domainnamens</w:t>
      </w:r>
    </w:p>
    <w:p w14:paraId="356137FD" w14:textId="7BECD1DA" w:rsidR="000D30B0" w:rsidRDefault="00116AE3" w:rsidP="00116AE3">
      <w:pPr>
        <w:spacing w:after="0"/>
      </w:pPr>
      <w:r>
        <w:t>Vorgehen gegen beide möglich, auch wenn nicht identisch</w:t>
      </w:r>
    </w:p>
    <w:p w14:paraId="37E4E362" w14:textId="77777777" w:rsidR="00E559E7" w:rsidRDefault="00E559E7" w:rsidP="00031C9C">
      <w:pPr>
        <w:spacing w:after="0"/>
      </w:pPr>
    </w:p>
    <w:sectPr w:rsidR="00E55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125"/>
    <w:multiLevelType w:val="hybridMultilevel"/>
    <w:tmpl w:val="C56C7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B240E"/>
    <w:multiLevelType w:val="hybridMultilevel"/>
    <w:tmpl w:val="DBCCD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4662"/>
    <w:multiLevelType w:val="hybridMultilevel"/>
    <w:tmpl w:val="9F8C6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34FC"/>
    <w:multiLevelType w:val="hybridMultilevel"/>
    <w:tmpl w:val="D4147D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5DF2"/>
    <w:multiLevelType w:val="hybridMultilevel"/>
    <w:tmpl w:val="285CDBF4"/>
    <w:lvl w:ilvl="0" w:tplc="7DBAB4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1F10"/>
    <w:multiLevelType w:val="hybridMultilevel"/>
    <w:tmpl w:val="BB5A1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149AF"/>
    <w:multiLevelType w:val="hybridMultilevel"/>
    <w:tmpl w:val="8C541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F09B9"/>
    <w:multiLevelType w:val="hybridMultilevel"/>
    <w:tmpl w:val="762E3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241F2"/>
    <w:multiLevelType w:val="hybridMultilevel"/>
    <w:tmpl w:val="546AD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A7118"/>
    <w:multiLevelType w:val="hybridMultilevel"/>
    <w:tmpl w:val="E8FCD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5E"/>
    <w:rsid w:val="00000403"/>
    <w:rsid w:val="00031C9C"/>
    <w:rsid w:val="00034652"/>
    <w:rsid w:val="0003482F"/>
    <w:rsid w:val="000551CE"/>
    <w:rsid w:val="000A6430"/>
    <w:rsid w:val="000C5121"/>
    <w:rsid w:val="000D30B0"/>
    <w:rsid w:val="00116AE3"/>
    <w:rsid w:val="00153AB0"/>
    <w:rsid w:val="00171F91"/>
    <w:rsid w:val="001A6F98"/>
    <w:rsid w:val="001F080D"/>
    <w:rsid w:val="00204CA0"/>
    <w:rsid w:val="002246E6"/>
    <w:rsid w:val="00232193"/>
    <w:rsid w:val="002720CF"/>
    <w:rsid w:val="002815CD"/>
    <w:rsid w:val="00293EFB"/>
    <w:rsid w:val="002A6AD2"/>
    <w:rsid w:val="00323E9D"/>
    <w:rsid w:val="003452BA"/>
    <w:rsid w:val="003530DC"/>
    <w:rsid w:val="003619F0"/>
    <w:rsid w:val="003A0664"/>
    <w:rsid w:val="003A0F40"/>
    <w:rsid w:val="003D1051"/>
    <w:rsid w:val="003E008A"/>
    <w:rsid w:val="003E6680"/>
    <w:rsid w:val="00440471"/>
    <w:rsid w:val="00440B46"/>
    <w:rsid w:val="00444A14"/>
    <w:rsid w:val="004620D0"/>
    <w:rsid w:val="0047157D"/>
    <w:rsid w:val="004A0E50"/>
    <w:rsid w:val="004C7B55"/>
    <w:rsid w:val="004D7898"/>
    <w:rsid w:val="004F405E"/>
    <w:rsid w:val="0050613F"/>
    <w:rsid w:val="005063C7"/>
    <w:rsid w:val="005133C9"/>
    <w:rsid w:val="00537F20"/>
    <w:rsid w:val="00540712"/>
    <w:rsid w:val="005F0227"/>
    <w:rsid w:val="0060507C"/>
    <w:rsid w:val="006173BB"/>
    <w:rsid w:val="00661022"/>
    <w:rsid w:val="00685C80"/>
    <w:rsid w:val="00691324"/>
    <w:rsid w:val="0074059D"/>
    <w:rsid w:val="00755DE8"/>
    <w:rsid w:val="0078244F"/>
    <w:rsid w:val="007D69A1"/>
    <w:rsid w:val="007E27E8"/>
    <w:rsid w:val="00841E4C"/>
    <w:rsid w:val="008F0CED"/>
    <w:rsid w:val="0094735E"/>
    <w:rsid w:val="009A3D3F"/>
    <w:rsid w:val="00A47ACD"/>
    <w:rsid w:val="00B31024"/>
    <w:rsid w:val="00B34602"/>
    <w:rsid w:val="00B4475B"/>
    <w:rsid w:val="00B4514A"/>
    <w:rsid w:val="00B90E1C"/>
    <w:rsid w:val="00BC7E0C"/>
    <w:rsid w:val="00C23DBE"/>
    <w:rsid w:val="00CD2FA7"/>
    <w:rsid w:val="00CD7B4C"/>
    <w:rsid w:val="00D067F5"/>
    <w:rsid w:val="00D725E1"/>
    <w:rsid w:val="00D75036"/>
    <w:rsid w:val="00DE257F"/>
    <w:rsid w:val="00E377E7"/>
    <w:rsid w:val="00E559E7"/>
    <w:rsid w:val="00E87DDA"/>
    <w:rsid w:val="00EA676C"/>
    <w:rsid w:val="00F13952"/>
    <w:rsid w:val="00F20260"/>
    <w:rsid w:val="00F32101"/>
    <w:rsid w:val="00F739FC"/>
    <w:rsid w:val="00F81A11"/>
    <w:rsid w:val="00FB6AE9"/>
    <w:rsid w:val="00F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5E1EB"/>
  <w15:chartTrackingRefBased/>
  <w15:docId w15:val="{DBF3B224-1803-4B1C-9ADE-8003620C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31C9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84</cp:revision>
  <dcterms:created xsi:type="dcterms:W3CDTF">2018-12-16T16:31:00Z</dcterms:created>
  <dcterms:modified xsi:type="dcterms:W3CDTF">2018-12-16T17:04:00Z</dcterms:modified>
</cp:coreProperties>
</file>