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471A9" w14:textId="09CC9165" w:rsidR="00FD1F4D" w:rsidRDefault="00FD1F4D" w:rsidP="00FD1F4D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5. Termin: Schutz von </w:t>
      </w:r>
      <w:r>
        <w:rPr>
          <w:b/>
          <w:sz w:val="28"/>
        </w:rPr>
        <w:t>Designrechten</w:t>
      </w:r>
    </w:p>
    <w:p w14:paraId="77E9204E" w14:textId="77777777" w:rsidR="00FD1F4D" w:rsidRDefault="00FD1F4D" w:rsidP="00FD1F4D">
      <w:pPr>
        <w:spacing w:after="0"/>
      </w:pPr>
    </w:p>
    <w:p w14:paraId="45894E37" w14:textId="654D885C" w:rsidR="00FD1F4D" w:rsidRDefault="00347DFA" w:rsidP="00715930">
      <w:pPr>
        <w:spacing w:after="0"/>
        <w:rPr>
          <w:u w:val="single"/>
        </w:rPr>
      </w:pPr>
      <w:r>
        <w:rPr>
          <w:u w:val="single"/>
        </w:rPr>
        <w:t>Allgemeines</w:t>
      </w:r>
      <w:r w:rsidR="00FD1F4D">
        <w:rPr>
          <w:u w:val="single"/>
        </w:rPr>
        <w:t>:</w:t>
      </w:r>
    </w:p>
    <w:p w14:paraId="3F8A73D0" w14:textId="33C6E134" w:rsidR="00FD1F4D" w:rsidRDefault="00C1481B" w:rsidP="00715930">
      <w:pPr>
        <w:spacing w:after="0"/>
        <w:rPr>
          <w:b/>
        </w:rPr>
      </w:pPr>
      <w:r>
        <w:rPr>
          <w:b/>
        </w:rPr>
        <w:t>Designschutz</w:t>
      </w:r>
      <w:r w:rsidR="00FD1F4D">
        <w:rPr>
          <w:b/>
        </w:rPr>
        <w:t>:</w:t>
      </w:r>
    </w:p>
    <w:p w14:paraId="058B0CBA" w14:textId="2E0F82A9" w:rsidR="00715930" w:rsidRDefault="00E23301" w:rsidP="00715930">
      <w:pPr>
        <w:spacing w:after="0"/>
      </w:pPr>
      <w:r>
        <w:t>Der Designschutz betrifft ästhetische Formschöpfungen für „neue und eigenartige Muster und Modelle“</w:t>
      </w:r>
      <w:r w:rsidR="00715930">
        <w:t>.</w:t>
      </w:r>
      <w:r w:rsidR="006138DA">
        <w:t xml:space="preserve"> </w:t>
      </w:r>
      <w:r w:rsidR="00715930" w:rsidRPr="00715930">
        <w:t>Design ist Teil des Marketings von Produkten.</w:t>
      </w:r>
    </w:p>
    <w:p w14:paraId="241455DA" w14:textId="4F4932E9" w:rsidR="00876B89" w:rsidRDefault="00876B89" w:rsidP="00715930">
      <w:pPr>
        <w:spacing w:after="0"/>
      </w:pPr>
    </w:p>
    <w:p w14:paraId="4632E3D8" w14:textId="1326920D" w:rsidR="002A2D0F" w:rsidRPr="002A2D0F" w:rsidRDefault="002A2D0F" w:rsidP="00715930">
      <w:pPr>
        <w:spacing w:after="0"/>
        <w:rPr>
          <w:b/>
        </w:rPr>
      </w:pPr>
      <w:r w:rsidRPr="002A2D0F">
        <w:rPr>
          <w:b/>
        </w:rPr>
        <w:t>Definition von „Design“</w:t>
      </w:r>
      <w:r w:rsidR="009C060F">
        <w:rPr>
          <w:b/>
        </w:rPr>
        <w:t>:</w:t>
      </w:r>
    </w:p>
    <w:p w14:paraId="3D589BC2" w14:textId="4E1B89C8" w:rsidR="002A2D0F" w:rsidRDefault="000B5ECE" w:rsidP="00715930">
      <w:pPr>
        <w:spacing w:after="0"/>
      </w:pPr>
      <w:r w:rsidRPr="000B5ECE">
        <w:t>Die Erscheinung als Ganzes oder eines Teils eines Produktes, welches durch Merkmale der Linien, Konturen, Texturen und/oder Materialien des Erzeugnisses selbst gebildet wird und/oder dessen Ornamente.</w:t>
      </w:r>
    </w:p>
    <w:p w14:paraId="7C04F059" w14:textId="1FF83409" w:rsidR="00876B89" w:rsidRDefault="00876B89" w:rsidP="00715930">
      <w:pPr>
        <w:spacing w:after="0"/>
      </w:pPr>
    </w:p>
    <w:p w14:paraId="0FF0F8C4" w14:textId="2F66DEB0" w:rsidR="00E4358D" w:rsidRPr="00E4358D" w:rsidRDefault="00E4358D" w:rsidP="00715930">
      <w:pPr>
        <w:spacing w:after="0"/>
        <w:rPr>
          <w:b/>
        </w:rPr>
      </w:pPr>
      <w:r w:rsidRPr="00E4358D">
        <w:rPr>
          <w:b/>
        </w:rPr>
        <w:t>Designschutz in Deutschland</w:t>
      </w:r>
      <w:r>
        <w:rPr>
          <w:b/>
        </w:rPr>
        <w:t>:</w:t>
      </w:r>
    </w:p>
    <w:p w14:paraId="4FC13869" w14:textId="0A3329C2" w:rsidR="00E4358D" w:rsidRDefault="00E4358D" w:rsidP="00E4358D">
      <w:pPr>
        <w:pStyle w:val="Listenabsatz"/>
        <w:numPr>
          <w:ilvl w:val="0"/>
          <w:numId w:val="1"/>
        </w:numPr>
        <w:spacing w:after="0"/>
      </w:pPr>
      <w:r w:rsidRPr="004E6331">
        <w:rPr>
          <w:u w:val="single"/>
        </w:rPr>
        <w:t>Designgesetz</w:t>
      </w:r>
      <w:r>
        <w:t xml:space="preserve"> (</w:t>
      </w:r>
      <w:proofErr w:type="spellStart"/>
      <w:r>
        <w:t>DesignG</w:t>
      </w:r>
      <w:proofErr w:type="spellEnd"/>
      <w:r>
        <w:t>) – Nationale Bestimmungen</w:t>
      </w:r>
    </w:p>
    <w:p w14:paraId="67D5C09B" w14:textId="1E4C5DD4" w:rsidR="008C2A5C" w:rsidRDefault="008C2A5C" w:rsidP="008C2A5C">
      <w:pPr>
        <w:pStyle w:val="Listenabsatz"/>
        <w:numPr>
          <w:ilvl w:val="1"/>
          <w:numId w:val="1"/>
        </w:numPr>
        <w:spacing w:after="0"/>
      </w:pPr>
      <w:r>
        <w:t>Schutz nur für Deutschland</w:t>
      </w:r>
    </w:p>
    <w:p w14:paraId="576D19A8" w14:textId="7354A4FF" w:rsidR="008C2A5C" w:rsidRDefault="008C2A5C" w:rsidP="00E4358D">
      <w:pPr>
        <w:pStyle w:val="Listenabsatz"/>
        <w:numPr>
          <w:ilvl w:val="0"/>
          <w:numId w:val="1"/>
        </w:numPr>
        <w:spacing w:after="0"/>
      </w:pPr>
      <w:r w:rsidRPr="004E6331">
        <w:rPr>
          <w:u w:val="single"/>
        </w:rPr>
        <w:t>Gemeinschaftsgeschmacksmusterverordnung</w:t>
      </w:r>
      <w:r>
        <w:t xml:space="preserve"> (GGV) – Gemeinschaftsrecht</w:t>
      </w:r>
    </w:p>
    <w:p w14:paraId="0008BE12" w14:textId="3886107C" w:rsidR="008C2A5C" w:rsidRDefault="008C2A5C" w:rsidP="008C2A5C">
      <w:pPr>
        <w:pStyle w:val="Listenabsatz"/>
        <w:numPr>
          <w:ilvl w:val="1"/>
          <w:numId w:val="1"/>
        </w:numPr>
        <w:spacing w:after="0"/>
      </w:pPr>
      <w:r>
        <w:t>Schutz für alle 28 Mitgliedstaaten der EU</w:t>
      </w:r>
    </w:p>
    <w:p w14:paraId="2CADD824" w14:textId="61427912" w:rsidR="00E4358D" w:rsidRDefault="00E4358D" w:rsidP="00715930">
      <w:pPr>
        <w:spacing w:after="0"/>
      </w:pPr>
    </w:p>
    <w:p w14:paraId="4E2B8653" w14:textId="06062422" w:rsidR="00547623" w:rsidRPr="003220A5" w:rsidRDefault="00547623" w:rsidP="00715930">
      <w:pPr>
        <w:spacing w:after="0"/>
        <w:rPr>
          <w:b/>
        </w:rPr>
      </w:pPr>
      <w:r w:rsidRPr="003220A5">
        <w:rPr>
          <w:b/>
        </w:rPr>
        <w:t>Warum Gemeinschaftsgeschmacksmuster (GGM)</w:t>
      </w:r>
    </w:p>
    <w:p w14:paraId="34A4E79F" w14:textId="38B405B6" w:rsidR="003220A5" w:rsidRDefault="00BE76D5" w:rsidP="00BE76D5">
      <w:pPr>
        <w:pStyle w:val="Listenabsatz"/>
        <w:numPr>
          <w:ilvl w:val="0"/>
          <w:numId w:val="2"/>
        </w:numPr>
        <w:spacing w:after="0"/>
      </w:pPr>
      <w:r>
        <w:t>Einheitliche rechtliche Reglung</w:t>
      </w:r>
    </w:p>
    <w:p w14:paraId="6D4BF30D" w14:textId="287AE087" w:rsidR="00BE76D5" w:rsidRDefault="00BE76D5" w:rsidP="00BE76D5">
      <w:pPr>
        <w:pStyle w:val="Listenabsatz"/>
        <w:numPr>
          <w:ilvl w:val="0"/>
          <w:numId w:val="2"/>
        </w:numPr>
        <w:spacing w:after="0"/>
      </w:pPr>
      <w:r>
        <w:t>Einheitlicher Schutz in den Vertragsstaaten</w:t>
      </w:r>
    </w:p>
    <w:p w14:paraId="0D04691F" w14:textId="31465569" w:rsidR="00BE76D5" w:rsidRDefault="00BE76D5" w:rsidP="00BE76D5">
      <w:pPr>
        <w:pStyle w:val="Listenabsatz"/>
        <w:numPr>
          <w:ilvl w:val="0"/>
          <w:numId w:val="2"/>
        </w:numPr>
        <w:spacing w:after="0"/>
      </w:pPr>
      <w:r>
        <w:t>Eine Anmeldung und eine Sprache</w:t>
      </w:r>
    </w:p>
    <w:p w14:paraId="72476047" w14:textId="69B4C43C" w:rsidR="00BE76D5" w:rsidRDefault="00BE76D5" w:rsidP="00BE76D5">
      <w:pPr>
        <w:pStyle w:val="Listenabsatz"/>
        <w:numPr>
          <w:ilvl w:val="0"/>
          <w:numId w:val="2"/>
        </w:numPr>
        <w:spacing w:after="0"/>
      </w:pPr>
      <w:r>
        <w:t>Ein Gebührensystem</w:t>
      </w:r>
    </w:p>
    <w:p w14:paraId="2F080BD2" w14:textId="3910479A" w:rsidR="00547623" w:rsidRDefault="00547623" w:rsidP="00715930">
      <w:pPr>
        <w:spacing w:after="0"/>
      </w:pPr>
    </w:p>
    <w:p w14:paraId="4097BA5C" w14:textId="6FE81A72" w:rsidR="00B33BB8" w:rsidRPr="008605E8" w:rsidRDefault="008605E8" w:rsidP="00715930">
      <w:pPr>
        <w:spacing w:after="0"/>
        <w:rPr>
          <w:u w:val="single"/>
        </w:rPr>
      </w:pPr>
      <w:r w:rsidRPr="008605E8">
        <w:rPr>
          <w:u w:val="single"/>
        </w:rPr>
        <w:t>Schutzvoraussetzungen:</w:t>
      </w:r>
    </w:p>
    <w:p w14:paraId="364B7B1B" w14:textId="725AFE1C" w:rsidR="008605E8" w:rsidRPr="00FB3AD4" w:rsidRDefault="008E69EF" w:rsidP="008E69EF">
      <w:pPr>
        <w:pStyle w:val="Listenabsatz"/>
        <w:numPr>
          <w:ilvl w:val="0"/>
          <w:numId w:val="3"/>
        </w:numPr>
        <w:spacing w:after="0"/>
        <w:rPr>
          <w:b/>
        </w:rPr>
      </w:pPr>
      <w:r w:rsidRPr="00FB3AD4">
        <w:rPr>
          <w:b/>
        </w:rPr>
        <w:t>Geeigneter Schutzgegenstand</w:t>
      </w:r>
    </w:p>
    <w:p w14:paraId="27D35FCD" w14:textId="2C3F1661" w:rsidR="00DA01BE" w:rsidRDefault="008955BB" w:rsidP="00DA01BE">
      <w:pPr>
        <w:pStyle w:val="Listenabsatz"/>
        <w:numPr>
          <w:ilvl w:val="1"/>
          <w:numId w:val="3"/>
        </w:numPr>
        <w:spacing w:after="0"/>
      </w:pPr>
      <w:proofErr w:type="spellStart"/>
      <w:r>
        <w:t>Schützbare</w:t>
      </w:r>
      <w:proofErr w:type="spellEnd"/>
      <w:r>
        <w:t xml:space="preserve"> Gegenstände: 2D-Gegenstände, 3D-Gegenstände, Motive, Werkstoffe, Bauwerke)</w:t>
      </w:r>
    </w:p>
    <w:p w14:paraId="0B4A40B6" w14:textId="65386076" w:rsidR="007F68B5" w:rsidRDefault="007F68B5" w:rsidP="00DA01BE">
      <w:pPr>
        <w:pStyle w:val="Listenabsatz"/>
        <w:numPr>
          <w:ilvl w:val="1"/>
          <w:numId w:val="3"/>
        </w:numPr>
        <w:spacing w:after="0"/>
      </w:pPr>
      <w:r>
        <w:t xml:space="preserve">Nicht </w:t>
      </w:r>
      <w:proofErr w:type="spellStart"/>
      <w:r>
        <w:t>schützbare</w:t>
      </w:r>
      <w:proofErr w:type="spellEnd"/>
      <w:r>
        <w:t xml:space="preserve"> Gegenstände: Merkmale, die ausschließlich durch die technische Funktion bestimmt sind, Ideen, Software, Muster, die gegen öffentliche Ordnung verstoßen, Verbindungselemente;</w:t>
      </w:r>
    </w:p>
    <w:p w14:paraId="367FF177" w14:textId="16A838AB" w:rsidR="008E69EF" w:rsidRPr="00FB3AD4" w:rsidRDefault="008E69EF" w:rsidP="008E69EF">
      <w:pPr>
        <w:pStyle w:val="Listenabsatz"/>
        <w:numPr>
          <w:ilvl w:val="0"/>
          <w:numId w:val="3"/>
        </w:numPr>
        <w:spacing w:after="0"/>
        <w:rPr>
          <w:b/>
        </w:rPr>
      </w:pPr>
      <w:r w:rsidRPr="00FB3AD4">
        <w:rPr>
          <w:b/>
        </w:rPr>
        <w:t>Neuheit</w:t>
      </w:r>
    </w:p>
    <w:p w14:paraId="4E92B530" w14:textId="6D91EB6F" w:rsidR="00FB3AD4" w:rsidRDefault="00FB3AD4" w:rsidP="00FB3AD4">
      <w:pPr>
        <w:pStyle w:val="Listenabsatz"/>
        <w:numPr>
          <w:ilvl w:val="1"/>
          <w:numId w:val="3"/>
        </w:numPr>
        <w:spacing w:after="0"/>
      </w:pPr>
      <w:r w:rsidRPr="00FB3AD4">
        <w:t>Ein Muster gilt als neu, wenn vor dem Anmeldetag kein identisches Muster offenbart worden ist. Als „identisch“ gilt auch, wenn sich die Merkmale der Vergleichsmuster nur in unwesentlichen Einzelheiten unterscheiden.</w:t>
      </w:r>
    </w:p>
    <w:p w14:paraId="7748C656" w14:textId="1201E80E" w:rsidR="008E69EF" w:rsidRDefault="008E69EF" w:rsidP="008E69EF">
      <w:pPr>
        <w:pStyle w:val="Listenabsatz"/>
        <w:numPr>
          <w:ilvl w:val="0"/>
          <w:numId w:val="3"/>
        </w:numPr>
        <w:spacing w:after="0"/>
        <w:rPr>
          <w:b/>
        </w:rPr>
      </w:pPr>
      <w:r w:rsidRPr="00FB3AD4">
        <w:rPr>
          <w:b/>
        </w:rPr>
        <w:t>Eigenart (individueller Charakter)</w:t>
      </w:r>
    </w:p>
    <w:p w14:paraId="6E3015C2" w14:textId="60F56043" w:rsidR="00FB3AD4" w:rsidRPr="00D52C9A" w:rsidRDefault="00D52C9A" w:rsidP="00FB3AD4">
      <w:pPr>
        <w:pStyle w:val="Listenabsatz"/>
        <w:numPr>
          <w:ilvl w:val="1"/>
          <w:numId w:val="3"/>
        </w:numPr>
        <w:spacing w:after="0"/>
      </w:pPr>
      <w:r w:rsidRPr="00D52C9A">
        <w:t xml:space="preserve">Ein Muster hat Eigenart, wenn sich der Gesamteindruck, den es beim </w:t>
      </w:r>
      <w:r w:rsidRPr="00D52C9A">
        <w:rPr>
          <w:b/>
        </w:rPr>
        <w:t>informierten Benutzer</w:t>
      </w:r>
      <w:r w:rsidRPr="00D52C9A">
        <w:t xml:space="preserve"> hervorruft, von dem Gesamteindruck unterscheidet, den ein</w:t>
      </w:r>
      <w:r>
        <w:t xml:space="preserve"> </w:t>
      </w:r>
      <w:r w:rsidRPr="00D52C9A">
        <w:t>anderes Muster hervorruft, das vor dem Anmeldetag offenbart worden ist.</w:t>
      </w:r>
    </w:p>
    <w:p w14:paraId="6F7E0C5F" w14:textId="51AD7A4B" w:rsidR="002F6E9A" w:rsidRDefault="002F6E9A" w:rsidP="002F6E9A">
      <w:pPr>
        <w:spacing w:after="0"/>
      </w:pPr>
    </w:p>
    <w:p w14:paraId="07396ABD" w14:textId="2B631801" w:rsidR="002F6E9A" w:rsidRPr="002F6E9A" w:rsidRDefault="002F6E9A" w:rsidP="002F6E9A">
      <w:pPr>
        <w:spacing w:after="0"/>
        <w:rPr>
          <w:b/>
        </w:rPr>
      </w:pPr>
      <w:r w:rsidRPr="002F6E9A">
        <w:rPr>
          <w:b/>
        </w:rPr>
        <w:t>Technische Funktion:</w:t>
      </w:r>
    </w:p>
    <w:p w14:paraId="671EB764" w14:textId="01E056E2" w:rsidR="00B33BB8" w:rsidRDefault="008D4257" w:rsidP="00715930">
      <w:pPr>
        <w:spacing w:after="0"/>
      </w:pPr>
      <w:r w:rsidRPr="008D4257">
        <w:t>„Ein Gemeinschaftsgeschmacksmuster besteht nicht an Erscheinungsmerkmalen eines Erzeugnisses, die ausschließlich durch dessen technische Funktion bedingt sind.“</w:t>
      </w:r>
    </w:p>
    <w:p w14:paraId="1671D174" w14:textId="2D2426A3" w:rsidR="008D4257" w:rsidRPr="002D7ECF" w:rsidRDefault="008D4257" w:rsidP="008D4257">
      <w:pPr>
        <w:pStyle w:val="Listenabsatz"/>
        <w:numPr>
          <w:ilvl w:val="0"/>
          <w:numId w:val="5"/>
        </w:numPr>
        <w:spacing w:after="0"/>
      </w:pPr>
      <w:r>
        <w:t xml:space="preserve">Wichtig: </w:t>
      </w:r>
      <w:r w:rsidRPr="00561B0B">
        <w:rPr>
          <w:b/>
        </w:rPr>
        <w:t>optisches Erscheinungsbild</w:t>
      </w:r>
    </w:p>
    <w:p w14:paraId="269296A4" w14:textId="45D82463" w:rsidR="002D7ECF" w:rsidRDefault="002D7ECF" w:rsidP="002D7ECF">
      <w:pPr>
        <w:spacing w:after="0"/>
      </w:pPr>
    </w:p>
    <w:p w14:paraId="0FF8B3B3" w14:textId="6D527A2F" w:rsidR="00574D96" w:rsidRPr="00574D96" w:rsidRDefault="00574D96" w:rsidP="002D7ECF">
      <w:pPr>
        <w:spacing w:after="0"/>
        <w:rPr>
          <w:b/>
        </w:rPr>
      </w:pPr>
      <w:r w:rsidRPr="00574D96">
        <w:rPr>
          <w:b/>
        </w:rPr>
        <w:t>Neuheitsschonfrist</w:t>
      </w:r>
      <w:r w:rsidRPr="00574D96">
        <w:rPr>
          <w:b/>
        </w:rPr>
        <w:t>:</w:t>
      </w:r>
    </w:p>
    <w:p w14:paraId="23DAE92E" w14:textId="05F1628D" w:rsidR="00262BE1" w:rsidRDefault="00262BE1" w:rsidP="00262BE1">
      <w:pPr>
        <w:pStyle w:val="Listenabsatz"/>
        <w:numPr>
          <w:ilvl w:val="0"/>
          <w:numId w:val="8"/>
        </w:numPr>
        <w:spacing w:after="0"/>
      </w:pPr>
      <w:r>
        <w:t>12-monatige Neuheitsschonfrist</w:t>
      </w:r>
    </w:p>
    <w:p w14:paraId="08447121" w14:textId="5A61C983" w:rsidR="00574D96" w:rsidRDefault="00262BE1" w:rsidP="00262BE1">
      <w:pPr>
        <w:spacing w:after="0"/>
      </w:pPr>
      <w:r>
        <w:t>Alle eigenen</w:t>
      </w:r>
      <w:r>
        <w:t xml:space="preserve"> </w:t>
      </w:r>
      <w:r>
        <w:t>Offenbarungen eines identischen Designs innerhalb von 12 Monaten vor dem Anmeldetag/Prioritätstag bleiben bezüglich der Neuheit und Eigenart unberücksichtigt.</w:t>
      </w:r>
    </w:p>
    <w:p w14:paraId="60DF2B8B" w14:textId="44194774" w:rsidR="00574D96" w:rsidRPr="00E87555" w:rsidRDefault="00E87555" w:rsidP="002D7ECF">
      <w:pPr>
        <w:spacing w:after="0"/>
        <w:rPr>
          <w:u w:val="single"/>
        </w:rPr>
      </w:pPr>
      <w:r w:rsidRPr="00E87555">
        <w:rPr>
          <w:u w:val="single"/>
        </w:rPr>
        <w:lastRenderedPageBreak/>
        <w:t>Designanmeldung: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3C9F" w:rsidRPr="00003C9F" w14:paraId="7566EA28" w14:textId="77777777" w:rsidTr="00BA1A76">
        <w:tc>
          <w:tcPr>
            <w:tcW w:w="4531" w:type="dxa"/>
          </w:tcPr>
          <w:p w14:paraId="29D0B613" w14:textId="3EA72E57" w:rsidR="00003C9F" w:rsidRPr="00003C9F" w:rsidRDefault="00003C9F" w:rsidP="00003C9F">
            <w:pPr>
              <w:jc w:val="center"/>
              <w:rPr>
                <w:b/>
              </w:rPr>
            </w:pPr>
            <w:r w:rsidRPr="00003C9F">
              <w:rPr>
                <w:b/>
              </w:rPr>
              <w:t>Eingetragenes EU-Geschmacksmuster</w:t>
            </w:r>
          </w:p>
        </w:tc>
        <w:tc>
          <w:tcPr>
            <w:tcW w:w="4531" w:type="dxa"/>
          </w:tcPr>
          <w:p w14:paraId="46E5B53E" w14:textId="374212CC" w:rsidR="00003C9F" w:rsidRPr="00003C9F" w:rsidRDefault="00003C9F" w:rsidP="00003C9F">
            <w:pPr>
              <w:jc w:val="center"/>
              <w:rPr>
                <w:b/>
              </w:rPr>
            </w:pPr>
            <w:r w:rsidRPr="00003C9F">
              <w:rPr>
                <w:b/>
              </w:rPr>
              <w:t>Nicht e</w:t>
            </w:r>
            <w:r w:rsidRPr="00003C9F">
              <w:rPr>
                <w:b/>
              </w:rPr>
              <w:t>ingetragenes EU-Geschmacksmuster</w:t>
            </w:r>
          </w:p>
        </w:tc>
      </w:tr>
      <w:tr w:rsidR="00003C9F" w14:paraId="3F212B23" w14:textId="77777777" w:rsidTr="00BA1A76">
        <w:tc>
          <w:tcPr>
            <w:tcW w:w="4531" w:type="dxa"/>
          </w:tcPr>
          <w:p w14:paraId="0831EA2F" w14:textId="28CFEEC8" w:rsidR="00003C9F" w:rsidRDefault="005C136C" w:rsidP="00003C9F">
            <w:r>
              <w:t>- Eintragungsverfahren</w:t>
            </w:r>
          </w:p>
        </w:tc>
        <w:tc>
          <w:tcPr>
            <w:tcW w:w="4531" w:type="dxa"/>
          </w:tcPr>
          <w:p w14:paraId="7DF1C50B" w14:textId="45AE1714" w:rsidR="00003C9F" w:rsidRDefault="005C136C" w:rsidP="00003C9F">
            <w:r>
              <w:t xml:space="preserve">- </w:t>
            </w:r>
            <w:r w:rsidRPr="005958D2">
              <w:rPr>
                <w:b/>
              </w:rPr>
              <w:t>keine Anmeldung</w:t>
            </w:r>
            <w:r>
              <w:t>: Schutz entsteht mit dem Tag, an dem das Muster erstmals der Öffentlichkeit in der Gemeinschaft zugänglich gemacht wurde</w:t>
            </w:r>
          </w:p>
        </w:tc>
      </w:tr>
      <w:tr w:rsidR="00003C9F" w14:paraId="318A8AE2" w14:textId="77777777" w:rsidTr="00BA1A76">
        <w:tc>
          <w:tcPr>
            <w:tcW w:w="4531" w:type="dxa"/>
          </w:tcPr>
          <w:p w14:paraId="7680A62B" w14:textId="3C800B1D" w:rsidR="00003C9F" w:rsidRDefault="005C136C" w:rsidP="00003C9F">
            <w:r>
              <w:t xml:space="preserve">- </w:t>
            </w:r>
            <w:r w:rsidRPr="005C136C">
              <w:rPr>
                <w:b/>
              </w:rPr>
              <w:t>Schutzdauer</w:t>
            </w:r>
            <w:r>
              <w:t>: 5 Jahre ab Anmeldetag; verlängerbar auf max. 25 Jahre</w:t>
            </w:r>
          </w:p>
        </w:tc>
        <w:tc>
          <w:tcPr>
            <w:tcW w:w="4531" w:type="dxa"/>
          </w:tcPr>
          <w:p w14:paraId="4073B243" w14:textId="62E6F850" w:rsidR="00003C9F" w:rsidRDefault="00DE7DBA" w:rsidP="00003C9F">
            <w:r w:rsidRPr="00DE7DBA">
              <w:t xml:space="preserve">- </w:t>
            </w:r>
            <w:r w:rsidR="005C136C" w:rsidRPr="005958D2">
              <w:rPr>
                <w:b/>
              </w:rPr>
              <w:t>Schutzdauer</w:t>
            </w:r>
            <w:r w:rsidR="005C136C">
              <w:t>: 3 Jahre ab dem Zeitpunkt der Veröffentlichung</w:t>
            </w:r>
          </w:p>
        </w:tc>
      </w:tr>
      <w:tr w:rsidR="00003C9F" w14:paraId="53C22993" w14:textId="77777777" w:rsidTr="00BA1A76">
        <w:tc>
          <w:tcPr>
            <w:tcW w:w="4531" w:type="dxa"/>
          </w:tcPr>
          <w:p w14:paraId="2AFED213" w14:textId="450ACDAB" w:rsidR="00003C9F" w:rsidRDefault="00020082" w:rsidP="00003C9F">
            <w:r>
              <w:t xml:space="preserve">- </w:t>
            </w:r>
            <w:r w:rsidRPr="0079080A">
              <w:rPr>
                <w:b/>
              </w:rPr>
              <w:t>Monopolrecht</w:t>
            </w:r>
            <w:r>
              <w:t xml:space="preserve"> </w:t>
            </w:r>
            <w:r>
              <w:sym w:font="Wingdings" w:char="F0E0"/>
            </w:r>
            <w:r>
              <w:t xml:space="preserve"> verhindert identisches oder ähnliches Verwenden eines Design</w:t>
            </w:r>
            <w:r w:rsidR="000B32B0">
              <w:t>s</w:t>
            </w:r>
          </w:p>
        </w:tc>
        <w:tc>
          <w:tcPr>
            <w:tcW w:w="4531" w:type="dxa"/>
          </w:tcPr>
          <w:p w14:paraId="0CCDF1CE" w14:textId="3884ACEF" w:rsidR="00003C9F" w:rsidRDefault="00822FA8" w:rsidP="00003C9F">
            <w:r>
              <w:t xml:space="preserve">- </w:t>
            </w:r>
            <w:r w:rsidRPr="005958D2">
              <w:rPr>
                <w:b/>
              </w:rPr>
              <w:t>Schutz nur gegen Kopien</w:t>
            </w:r>
            <w:r>
              <w:t xml:space="preserve"> (Nachbildung)</w:t>
            </w:r>
          </w:p>
        </w:tc>
      </w:tr>
    </w:tbl>
    <w:p w14:paraId="18D70A47" w14:textId="77777777" w:rsidR="00E87555" w:rsidRDefault="00E87555" w:rsidP="002D7ECF">
      <w:pPr>
        <w:spacing w:after="0"/>
      </w:pPr>
    </w:p>
    <w:p w14:paraId="359D512F" w14:textId="05612ED6" w:rsidR="00E87555" w:rsidRPr="00C76295" w:rsidRDefault="00C76295" w:rsidP="002D7ECF">
      <w:pPr>
        <w:spacing w:after="0"/>
        <w:rPr>
          <w:b/>
        </w:rPr>
      </w:pPr>
      <w:r w:rsidRPr="00C76295">
        <w:rPr>
          <w:b/>
        </w:rPr>
        <w:t>Verfahren:</w:t>
      </w:r>
    </w:p>
    <w:p w14:paraId="7C4E6A95" w14:textId="5313614A" w:rsidR="00C76295" w:rsidRDefault="00E27BB2" w:rsidP="002D7ECF">
      <w:pPr>
        <w:spacing w:after="0"/>
      </w:pPr>
      <w:r>
        <w:rPr>
          <w:noProof/>
        </w:rPr>
        <w:drawing>
          <wp:inline distT="0" distB="0" distL="0" distR="0" wp14:anchorId="504A74FB" wp14:editId="070436F1">
            <wp:extent cx="2687794" cy="1801640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679" cy="18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489F" w14:textId="77777777" w:rsidR="002A5EEC" w:rsidRDefault="002A5EEC" w:rsidP="002D7ECF">
      <w:pPr>
        <w:spacing w:after="0"/>
      </w:pPr>
    </w:p>
    <w:p w14:paraId="5AC07DAC" w14:textId="7BE6AA28" w:rsidR="00E27BB2" w:rsidRDefault="00E27BB2" w:rsidP="00E27BB2">
      <w:pPr>
        <w:spacing w:after="0"/>
        <w:rPr>
          <w:b/>
        </w:rPr>
      </w:pPr>
      <w:r w:rsidRPr="00AB219B">
        <w:rPr>
          <w:b/>
        </w:rPr>
        <w:t>Darstellung:</w:t>
      </w:r>
    </w:p>
    <w:p w14:paraId="5B1AA815" w14:textId="5C1B2430" w:rsidR="000C4849" w:rsidRPr="004722D5" w:rsidRDefault="000C4849" w:rsidP="00E27BB2">
      <w:pPr>
        <w:spacing w:after="0"/>
      </w:pPr>
      <w:r>
        <w:t>Die Anmeldung muss eine Darstellung des Schutzgegenstandes enthalten.</w:t>
      </w:r>
    </w:p>
    <w:p w14:paraId="47633213" w14:textId="77777777" w:rsidR="00E27BB2" w:rsidRDefault="00E27BB2" w:rsidP="00E27BB2">
      <w:pPr>
        <w:pStyle w:val="Listenabsatz"/>
        <w:numPr>
          <w:ilvl w:val="0"/>
          <w:numId w:val="8"/>
        </w:numPr>
        <w:spacing w:after="0"/>
      </w:pPr>
      <w:r>
        <w:t>alleinige Offenbarung des Schutzgegenstandes</w:t>
      </w:r>
    </w:p>
    <w:p w14:paraId="180EF812" w14:textId="77777777" w:rsidR="00E27BB2" w:rsidRDefault="00E27BB2" w:rsidP="00E27BB2">
      <w:pPr>
        <w:pStyle w:val="Listenabsatz"/>
        <w:numPr>
          <w:ilvl w:val="0"/>
          <w:numId w:val="8"/>
        </w:numPr>
        <w:spacing w:after="0"/>
      </w:pPr>
      <w:r>
        <w:t>nur das Sichtbare ist geschützt</w:t>
      </w:r>
    </w:p>
    <w:p w14:paraId="323BFB3B" w14:textId="5C56DC43" w:rsidR="00D31221" w:rsidRDefault="00E27BB2" w:rsidP="00D31221">
      <w:pPr>
        <w:pStyle w:val="Listenabsatz"/>
        <w:numPr>
          <w:ilvl w:val="0"/>
          <w:numId w:val="8"/>
        </w:numPr>
        <w:spacing w:after="0"/>
      </w:pPr>
      <w:r>
        <w:t>nur so geschützt, wie abgebildet</w:t>
      </w:r>
    </w:p>
    <w:p w14:paraId="32B1AD51" w14:textId="77777777" w:rsidR="00D31221" w:rsidRDefault="00E27BB2" w:rsidP="00D31221">
      <w:pPr>
        <w:pStyle w:val="Listenabsatz"/>
        <w:numPr>
          <w:ilvl w:val="0"/>
          <w:numId w:val="5"/>
        </w:numPr>
        <w:spacing w:after="0"/>
      </w:pPr>
      <w:r>
        <w:t>deutliche Fotos/Abbildungen</w:t>
      </w:r>
    </w:p>
    <w:p w14:paraId="0E11DEFE" w14:textId="7083FA86" w:rsidR="00D31221" w:rsidRDefault="00E27BB2" w:rsidP="00D31221">
      <w:pPr>
        <w:pStyle w:val="Listenabsatz"/>
        <w:numPr>
          <w:ilvl w:val="0"/>
          <w:numId w:val="5"/>
        </w:numPr>
        <w:spacing w:after="0"/>
      </w:pPr>
      <w:r>
        <w:t>vorzugsweise mehrere aussagekräftige Ansichten desselben Musters/Modells</w:t>
      </w:r>
    </w:p>
    <w:p w14:paraId="0D93FDB9" w14:textId="08B383FB" w:rsidR="00E87555" w:rsidRDefault="00E87555" w:rsidP="002D7ECF">
      <w:pPr>
        <w:spacing w:after="0"/>
      </w:pPr>
    </w:p>
    <w:p w14:paraId="69DADF31" w14:textId="73EC9E8D" w:rsidR="0027267B" w:rsidRPr="0027267B" w:rsidRDefault="0027267B" w:rsidP="002D7ECF">
      <w:pPr>
        <w:spacing w:after="0"/>
        <w:rPr>
          <w:b/>
        </w:rPr>
      </w:pPr>
      <w:r w:rsidRPr="0027267B">
        <w:rPr>
          <w:b/>
        </w:rPr>
        <w:t>Registerrecht ohne Sachprüfung</w:t>
      </w:r>
      <w:r w:rsidRPr="0027267B">
        <w:rPr>
          <w:b/>
        </w:rPr>
        <w:t>:</w:t>
      </w:r>
    </w:p>
    <w:p w14:paraId="3AE13876" w14:textId="77777777" w:rsidR="00A4589F" w:rsidRDefault="00A4589F" w:rsidP="00A4589F">
      <w:pPr>
        <w:spacing w:after="0"/>
      </w:pPr>
      <w:r>
        <w:t>Eine Prüfung erfolgt</w:t>
      </w:r>
    </w:p>
    <w:p w14:paraId="2F467E76" w14:textId="77777777" w:rsidR="006E5418" w:rsidRDefault="00A4589F" w:rsidP="006E5418">
      <w:pPr>
        <w:pStyle w:val="Listenabsatz"/>
        <w:numPr>
          <w:ilvl w:val="0"/>
          <w:numId w:val="10"/>
        </w:numPr>
        <w:spacing w:after="0"/>
      </w:pPr>
      <w:r>
        <w:t xml:space="preserve">im Eintragungsverfahren; das Amt prüft </w:t>
      </w:r>
      <w:r w:rsidRPr="006E5418">
        <w:rPr>
          <w:b/>
        </w:rPr>
        <w:t>bei Anmeldung nur die formellen Voraussetzungen</w:t>
      </w:r>
      <w:r>
        <w:t>, nicht aber die materiellen Schutzvoraussetzungen</w:t>
      </w:r>
    </w:p>
    <w:p w14:paraId="0D5E8FF6" w14:textId="10A1EE7A" w:rsidR="00A4589F" w:rsidRDefault="00A4589F" w:rsidP="006E5418">
      <w:pPr>
        <w:pStyle w:val="Listenabsatz"/>
        <w:numPr>
          <w:ilvl w:val="0"/>
          <w:numId w:val="10"/>
        </w:numPr>
        <w:spacing w:after="0"/>
      </w:pPr>
      <w:r>
        <w:t>materiellen Schutzvoraussetzungen werden im Verletzungsverfahren oder im Löschungsverfahren geprüft</w:t>
      </w:r>
    </w:p>
    <w:p w14:paraId="53E15DF9" w14:textId="3E6E3AED" w:rsidR="0027267B" w:rsidRDefault="00A4589F" w:rsidP="006E5418">
      <w:pPr>
        <w:pStyle w:val="Listenabsatz"/>
        <w:numPr>
          <w:ilvl w:val="0"/>
          <w:numId w:val="9"/>
        </w:numPr>
        <w:spacing w:after="0"/>
      </w:pPr>
      <w:r>
        <w:t>Schutzfähigkeit stellt sich meist erst im Verletzungsverfahren heraus, bis dahin ggf. Scheinrecht</w:t>
      </w:r>
    </w:p>
    <w:p w14:paraId="06BE77ED" w14:textId="27475688" w:rsidR="0027267B" w:rsidRDefault="0027267B" w:rsidP="002D7ECF">
      <w:pPr>
        <w:spacing w:after="0"/>
      </w:pPr>
    </w:p>
    <w:p w14:paraId="76CF60D1" w14:textId="33B09B0B" w:rsidR="00B85DA1" w:rsidRPr="00B85DA1" w:rsidRDefault="00B85DA1" w:rsidP="002D7ECF">
      <w:pPr>
        <w:spacing w:after="0"/>
        <w:rPr>
          <w:b/>
        </w:rPr>
      </w:pPr>
      <w:r w:rsidRPr="00B85DA1">
        <w:rPr>
          <w:b/>
        </w:rPr>
        <w:t>Sammelanmeldung:</w:t>
      </w:r>
    </w:p>
    <w:p w14:paraId="0D2E67C6" w14:textId="77777777" w:rsidR="00432A25" w:rsidRDefault="00432A25" w:rsidP="002D7ECF">
      <w:pPr>
        <w:spacing w:after="0"/>
      </w:pPr>
      <w:r w:rsidRPr="00432A25">
        <w:t xml:space="preserve">Eine Sammelanmeldung ist ein Antrag auf Eintragung </w:t>
      </w:r>
      <w:r w:rsidRPr="00432A25">
        <w:rPr>
          <w:b/>
        </w:rPr>
        <w:t>mehrerer Geschmacksmuster</w:t>
      </w:r>
      <w:r>
        <w:t xml:space="preserve"> </w:t>
      </w:r>
      <w:r w:rsidRPr="00432A25">
        <w:t>in derselben Anmeldung.</w:t>
      </w:r>
    </w:p>
    <w:p w14:paraId="3B98BE40" w14:textId="77777777" w:rsidR="00432A25" w:rsidRDefault="00432A25" w:rsidP="002D7ECF">
      <w:pPr>
        <w:spacing w:after="0"/>
      </w:pPr>
      <w:r w:rsidRPr="00432A25">
        <w:t>Alle in der Sammelanmeldung oder der Sammeleintragung enthaltenen Geschmacksmuster werden unabhängig voneinander geprüft und behandelt.</w:t>
      </w:r>
    </w:p>
    <w:p w14:paraId="580C61D6" w14:textId="77E1472C" w:rsidR="00B85DA1" w:rsidRPr="00392FAB" w:rsidRDefault="00392FAB" w:rsidP="00392FAB">
      <w:pPr>
        <w:pStyle w:val="Listenabsatz"/>
        <w:numPr>
          <w:ilvl w:val="0"/>
          <w:numId w:val="9"/>
        </w:numPr>
        <w:spacing w:after="0"/>
        <w:rPr>
          <w:b/>
        </w:rPr>
      </w:pPr>
      <w:r w:rsidRPr="00392FAB">
        <w:rPr>
          <w:b/>
        </w:rPr>
        <w:t>Kosteneinsparung!</w:t>
      </w:r>
    </w:p>
    <w:p w14:paraId="0E9469FC" w14:textId="696C242B" w:rsidR="00CB2AF1" w:rsidRDefault="00CB2AF1">
      <w:pPr>
        <w:spacing w:line="259" w:lineRule="auto"/>
      </w:pPr>
      <w:r>
        <w:br w:type="page"/>
      </w:r>
    </w:p>
    <w:p w14:paraId="0B4F9A87" w14:textId="634F96D2" w:rsidR="00401928" w:rsidRPr="00E61BF6" w:rsidRDefault="00401928" w:rsidP="002D7ECF">
      <w:pPr>
        <w:spacing w:after="0"/>
        <w:rPr>
          <w:u w:val="single"/>
        </w:rPr>
      </w:pPr>
      <w:r w:rsidRPr="00E61BF6">
        <w:rPr>
          <w:u w:val="single"/>
        </w:rPr>
        <w:lastRenderedPageBreak/>
        <w:t>Designverletzung:</w:t>
      </w:r>
    </w:p>
    <w:p w14:paraId="11569ABD" w14:textId="2B3256D2" w:rsidR="00CB2AF1" w:rsidRPr="00CB2AF1" w:rsidRDefault="00CB2AF1" w:rsidP="002D7ECF">
      <w:pPr>
        <w:spacing w:after="0"/>
        <w:rPr>
          <w:b/>
        </w:rPr>
      </w:pPr>
      <w:r w:rsidRPr="00CB2AF1">
        <w:rPr>
          <w:b/>
        </w:rPr>
        <w:t>Ansprüche aus einem Geschmacksmuster</w:t>
      </w:r>
      <w:r w:rsidR="00894D64">
        <w:rPr>
          <w:b/>
        </w:rPr>
        <w:t>:</w:t>
      </w:r>
    </w:p>
    <w:p w14:paraId="08F3EF7F" w14:textId="77777777" w:rsidR="00CB2AF1" w:rsidRDefault="00CB2AF1" w:rsidP="00CB2AF1">
      <w:pPr>
        <w:pStyle w:val="Listenabsatz"/>
        <w:numPr>
          <w:ilvl w:val="0"/>
          <w:numId w:val="11"/>
        </w:numPr>
        <w:spacing w:after="0"/>
      </w:pPr>
      <w:r w:rsidRPr="00CB2AF1">
        <w:t>Unterlassung</w:t>
      </w:r>
    </w:p>
    <w:p w14:paraId="464FA96C" w14:textId="77777777" w:rsidR="00CB2AF1" w:rsidRDefault="00CB2AF1" w:rsidP="00CB2AF1">
      <w:pPr>
        <w:pStyle w:val="Listenabsatz"/>
        <w:numPr>
          <w:ilvl w:val="0"/>
          <w:numId w:val="11"/>
        </w:numPr>
        <w:spacing w:after="0"/>
      </w:pPr>
      <w:r w:rsidRPr="00CB2AF1">
        <w:t>Beseitigung der Beeinträchtigung</w:t>
      </w:r>
    </w:p>
    <w:p w14:paraId="2B0C4442" w14:textId="77777777" w:rsidR="00CB2AF1" w:rsidRDefault="00CB2AF1" w:rsidP="00CB2AF1">
      <w:pPr>
        <w:pStyle w:val="Listenabsatz"/>
        <w:numPr>
          <w:ilvl w:val="0"/>
          <w:numId w:val="11"/>
        </w:numPr>
        <w:spacing w:after="0"/>
      </w:pPr>
      <w:r w:rsidRPr="00CB2AF1">
        <w:t>Rechnungslegung</w:t>
      </w:r>
    </w:p>
    <w:p w14:paraId="521B22C9" w14:textId="77777777" w:rsidR="00CB2AF1" w:rsidRDefault="00CB2AF1" w:rsidP="00CB2AF1">
      <w:pPr>
        <w:pStyle w:val="Listenabsatz"/>
        <w:numPr>
          <w:ilvl w:val="0"/>
          <w:numId w:val="11"/>
        </w:numPr>
        <w:spacing w:after="0"/>
      </w:pPr>
      <w:r w:rsidRPr="00CB2AF1">
        <w:t>Schadensersatz (bei Verschulden)</w:t>
      </w:r>
    </w:p>
    <w:p w14:paraId="7B633033" w14:textId="77777777" w:rsidR="00CB2AF1" w:rsidRDefault="00CB2AF1" w:rsidP="00CB2AF1">
      <w:pPr>
        <w:pStyle w:val="Listenabsatz"/>
        <w:numPr>
          <w:ilvl w:val="0"/>
          <w:numId w:val="11"/>
        </w:numPr>
        <w:spacing w:after="0"/>
      </w:pPr>
      <w:r w:rsidRPr="00CB2AF1">
        <w:t>Auskunft</w:t>
      </w:r>
    </w:p>
    <w:p w14:paraId="0A0594E3" w14:textId="77777777" w:rsidR="00CB2AF1" w:rsidRDefault="00CB2AF1" w:rsidP="00CB2AF1">
      <w:pPr>
        <w:pStyle w:val="Listenabsatz"/>
        <w:numPr>
          <w:ilvl w:val="0"/>
          <w:numId w:val="11"/>
        </w:numPr>
        <w:spacing w:after="0"/>
      </w:pPr>
      <w:r w:rsidRPr="00CB2AF1">
        <w:t>Vernichtung</w:t>
      </w:r>
    </w:p>
    <w:p w14:paraId="64EDC7E0" w14:textId="7B2EAC70" w:rsidR="00401928" w:rsidRDefault="00CB2AF1" w:rsidP="00CB2AF1">
      <w:pPr>
        <w:pStyle w:val="Listenabsatz"/>
        <w:numPr>
          <w:ilvl w:val="0"/>
          <w:numId w:val="11"/>
        </w:numPr>
        <w:spacing w:after="0"/>
      </w:pPr>
      <w:r w:rsidRPr="00CB2AF1">
        <w:t>Grenzbeschlagnahme</w:t>
      </w:r>
    </w:p>
    <w:p w14:paraId="489A335B" w14:textId="5CBFA146" w:rsidR="00506BE2" w:rsidRDefault="00506BE2" w:rsidP="00506BE2">
      <w:pPr>
        <w:spacing w:after="0"/>
      </w:pPr>
      <w:bookmarkStart w:id="0" w:name="_GoBack"/>
      <w:bookmarkEnd w:id="0"/>
    </w:p>
    <w:p w14:paraId="3E9AE042" w14:textId="64D2442C" w:rsidR="00506BE2" w:rsidRPr="0064463A" w:rsidRDefault="0064463A" w:rsidP="00506BE2">
      <w:pPr>
        <w:spacing w:after="0"/>
        <w:rPr>
          <w:b/>
        </w:rPr>
      </w:pPr>
      <w:r w:rsidRPr="0064463A">
        <w:rPr>
          <w:b/>
        </w:rPr>
        <w:t>Durchsetzung des eingetragenen Geschmacksmusters</w:t>
      </w:r>
      <w:r w:rsidR="00C762ED">
        <w:rPr>
          <w:b/>
        </w:rPr>
        <w:t>:</w:t>
      </w:r>
    </w:p>
    <w:p w14:paraId="7099568E" w14:textId="3889359E" w:rsidR="00506BE2" w:rsidRDefault="0021660C" w:rsidP="0021660C">
      <w:pPr>
        <w:pStyle w:val="Listenabsatz"/>
        <w:numPr>
          <w:ilvl w:val="0"/>
          <w:numId w:val="12"/>
        </w:numPr>
        <w:spacing w:after="0"/>
      </w:pPr>
      <w:r>
        <w:t>Sicherung von Beweismitteln, Überprüfung der Sach- und Rechtslage, Durchführung einer Recherche zum Formenschatz</w:t>
      </w:r>
    </w:p>
    <w:p w14:paraId="7E954605" w14:textId="3DB7BFB1" w:rsidR="0021660C" w:rsidRDefault="0021660C" w:rsidP="0021660C">
      <w:pPr>
        <w:pStyle w:val="Listenabsatz"/>
        <w:numPr>
          <w:ilvl w:val="0"/>
          <w:numId w:val="12"/>
        </w:numPr>
        <w:spacing w:after="0"/>
      </w:pPr>
      <w:r>
        <w:t>Vorprozessuale Abmahnung</w:t>
      </w:r>
    </w:p>
    <w:p w14:paraId="4D41BA73" w14:textId="46F49A47" w:rsidR="0021660C" w:rsidRDefault="0021660C" w:rsidP="0021660C">
      <w:pPr>
        <w:pStyle w:val="Listenabsatz"/>
        <w:numPr>
          <w:ilvl w:val="0"/>
          <w:numId w:val="12"/>
        </w:numPr>
        <w:spacing w:after="0"/>
      </w:pPr>
      <w:r>
        <w:t>Einstweiliges Verfügungsverfahren</w:t>
      </w:r>
    </w:p>
    <w:p w14:paraId="30CF7FD1" w14:textId="3857ACE4" w:rsidR="0021660C" w:rsidRDefault="0021660C" w:rsidP="0021660C">
      <w:pPr>
        <w:pStyle w:val="Listenabsatz"/>
        <w:numPr>
          <w:ilvl w:val="0"/>
          <w:numId w:val="12"/>
        </w:numPr>
        <w:spacing w:after="0"/>
      </w:pPr>
      <w:r>
        <w:t>Hauptsacheverfahren</w:t>
      </w:r>
    </w:p>
    <w:p w14:paraId="16907428" w14:textId="72E66B58" w:rsidR="0021660C" w:rsidRDefault="0021660C" w:rsidP="0021660C">
      <w:pPr>
        <w:pStyle w:val="Listenabsatz"/>
        <w:numPr>
          <w:ilvl w:val="0"/>
          <w:numId w:val="12"/>
        </w:numPr>
        <w:spacing w:after="0"/>
      </w:pPr>
      <w:r>
        <w:t>Vollstreckungsverfahren</w:t>
      </w:r>
    </w:p>
    <w:sectPr w:rsidR="002166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4950"/>
    <w:multiLevelType w:val="hybridMultilevel"/>
    <w:tmpl w:val="63E0F248"/>
    <w:lvl w:ilvl="0" w:tplc="05E8FE0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5DF2"/>
    <w:multiLevelType w:val="hybridMultilevel"/>
    <w:tmpl w:val="93500B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53F9"/>
    <w:multiLevelType w:val="hybridMultilevel"/>
    <w:tmpl w:val="265AAB92"/>
    <w:lvl w:ilvl="0" w:tplc="05E8FE0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38B5"/>
    <w:multiLevelType w:val="hybridMultilevel"/>
    <w:tmpl w:val="5C629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212BC"/>
    <w:multiLevelType w:val="hybridMultilevel"/>
    <w:tmpl w:val="72E069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045DD"/>
    <w:multiLevelType w:val="hybridMultilevel"/>
    <w:tmpl w:val="F8E65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939B2"/>
    <w:multiLevelType w:val="hybridMultilevel"/>
    <w:tmpl w:val="E61C472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11565"/>
    <w:multiLevelType w:val="hybridMultilevel"/>
    <w:tmpl w:val="C186D16C"/>
    <w:lvl w:ilvl="0" w:tplc="931E615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51214"/>
    <w:multiLevelType w:val="hybridMultilevel"/>
    <w:tmpl w:val="7548D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E66D4"/>
    <w:multiLevelType w:val="hybridMultilevel"/>
    <w:tmpl w:val="1C02FE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C009A"/>
    <w:multiLevelType w:val="hybridMultilevel"/>
    <w:tmpl w:val="A956D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A4DAA"/>
    <w:multiLevelType w:val="hybridMultilevel"/>
    <w:tmpl w:val="229E6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DD"/>
    <w:rsid w:val="00003C9F"/>
    <w:rsid w:val="00020082"/>
    <w:rsid w:val="000B1761"/>
    <w:rsid w:val="000B32B0"/>
    <w:rsid w:val="000B5ECE"/>
    <w:rsid w:val="000C4849"/>
    <w:rsid w:val="000E0A15"/>
    <w:rsid w:val="0021660C"/>
    <w:rsid w:val="00262BE1"/>
    <w:rsid w:val="0027267B"/>
    <w:rsid w:val="00293EFB"/>
    <w:rsid w:val="002A2D0F"/>
    <w:rsid w:val="002A5EEC"/>
    <w:rsid w:val="002B2872"/>
    <w:rsid w:val="002D7ECF"/>
    <w:rsid w:val="002F6E9A"/>
    <w:rsid w:val="003220A5"/>
    <w:rsid w:val="00347DFA"/>
    <w:rsid w:val="00392FAB"/>
    <w:rsid w:val="00401928"/>
    <w:rsid w:val="00432A25"/>
    <w:rsid w:val="004411E5"/>
    <w:rsid w:val="0046747A"/>
    <w:rsid w:val="004722D5"/>
    <w:rsid w:val="004E6331"/>
    <w:rsid w:val="00506BE2"/>
    <w:rsid w:val="00537F20"/>
    <w:rsid w:val="00547623"/>
    <w:rsid w:val="00561B0B"/>
    <w:rsid w:val="00574D96"/>
    <w:rsid w:val="005958D2"/>
    <w:rsid w:val="005C136C"/>
    <w:rsid w:val="006138DA"/>
    <w:rsid w:val="0064463A"/>
    <w:rsid w:val="006E5418"/>
    <w:rsid w:val="00703BDA"/>
    <w:rsid w:val="00715930"/>
    <w:rsid w:val="0079080A"/>
    <w:rsid w:val="007F68B5"/>
    <w:rsid w:val="00822FA8"/>
    <w:rsid w:val="008605E8"/>
    <w:rsid w:val="00876B89"/>
    <w:rsid w:val="00894D64"/>
    <w:rsid w:val="008955BB"/>
    <w:rsid w:val="008C2A5C"/>
    <w:rsid w:val="008D4257"/>
    <w:rsid w:val="008E69EF"/>
    <w:rsid w:val="009C060F"/>
    <w:rsid w:val="00A26199"/>
    <w:rsid w:val="00A4589F"/>
    <w:rsid w:val="00A566DD"/>
    <w:rsid w:val="00AB219B"/>
    <w:rsid w:val="00B33BB8"/>
    <w:rsid w:val="00B85DA1"/>
    <w:rsid w:val="00BA1A76"/>
    <w:rsid w:val="00BE76D5"/>
    <w:rsid w:val="00C1481B"/>
    <w:rsid w:val="00C37139"/>
    <w:rsid w:val="00C76295"/>
    <w:rsid w:val="00C762ED"/>
    <w:rsid w:val="00CB2AF1"/>
    <w:rsid w:val="00D27434"/>
    <w:rsid w:val="00D31221"/>
    <w:rsid w:val="00D52C9A"/>
    <w:rsid w:val="00D8501E"/>
    <w:rsid w:val="00D85501"/>
    <w:rsid w:val="00DA01BE"/>
    <w:rsid w:val="00DE7DBA"/>
    <w:rsid w:val="00E23301"/>
    <w:rsid w:val="00E27BB2"/>
    <w:rsid w:val="00E4358D"/>
    <w:rsid w:val="00E61BF6"/>
    <w:rsid w:val="00E87555"/>
    <w:rsid w:val="00F159E8"/>
    <w:rsid w:val="00FB3AD4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D89E"/>
  <w15:chartTrackingRefBased/>
  <w15:docId w15:val="{D9C2F39A-77A8-40DD-BB53-379DCE0B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D1F4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358D"/>
    <w:pPr>
      <w:ind w:left="720"/>
      <w:contextualSpacing/>
    </w:pPr>
  </w:style>
  <w:style w:type="table" w:styleId="Tabellenraster">
    <w:name w:val="Table Grid"/>
    <w:basedOn w:val="NormaleTabelle"/>
    <w:uiPriority w:val="39"/>
    <w:rsid w:val="00BA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77</cp:revision>
  <dcterms:created xsi:type="dcterms:W3CDTF">2019-01-09T10:20:00Z</dcterms:created>
  <dcterms:modified xsi:type="dcterms:W3CDTF">2019-01-09T11:02:00Z</dcterms:modified>
</cp:coreProperties>
</file>