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F7C" w:rsidRDefault="00A62079">
      <w:r>
        <w:t>07 Markenverletzung</w:t>
      </w:r>
    </w:p>
    <w:p w:rsidR="00011932" w:rsidRDefault="00011932" w:rsidP="00011932">
      <w:pPr>
        <w:pStyle w:val="KeinLeerraum"/>
      </w:pPr>
      <w:r>
        <w:t>Fallvariante 1:</w:t>
      </w:r>
    </w:p>
    <w:p w:rsidR="00011932" w:rsidRDefault="00011932" w:rsidP="00011932">
      <w:pPr>
        <w:pStyle w:val="KeinLeerraum"/>
      </w:pPr>
      <w:r>
        <w:t xml:space="preserve">Markeninhaber </w:t>
      </w:r>
      <w:r w:rsidRPr="00011932">
        <w:rPr>
          <w:b/>
        </w:rPr>
        <w:t>Mixmax</w:t>
      </w:r>
      <w:r>
        <w:t xml:space="preserve"> Polstermöbel</w:t>
      </w:r>
    </w:p>
    <w:p w:rsidR="00011932" w:rsidRDefault="00011932" w:rsidP="00011932">
      <w:pPr>
        <w:pStyle w:val="KeinLeerraum"/>
      </w:pPr>
      <w:r>
        <w:t xml:space="preserve">Reger-Möbelparadies Werbung: Komplette Wohnzimmereinrichtung </w:t>
      </w:r>
      <w:r w:rsidRPr="00011932">
        <w:rPr>
          <w:b/>
        </w:rPr>
        <w:t>Mixmax</w:t>
      </w:r>
      <w:r>
        <w:t xml:space="preserve"> -&gt; markenmäßige Benutzung von </w:t>
      </w:r>
      <w:r w:rsidRPr="00011932">
        <w:rPr>
          <w:b/>
        </w:rPr>
        <w:t>Mixmax</w:t>
      </w:r>
    </w:p>
    <w:p w:rsidR="00011932" w:rsidRDefault="00011932" w:rsidP="00011932">
      <w:pPr>
        <w:pStyle w:val="KeinLeerraum"/>
      </w:pPr>
    </w:p>
    <w:p w:rsidR="00011932" w:rsidRDefault="00011932" w:rsidP="00011932">
      <w:pPr>
        <w:pStyle w:val="KeinLeerraum"/>
      </w:pPr>
      <w:r>
        <w:t>1. Vorprozessual: Überprüfung der Sach- und Rechtslage</w:t>
      </w:r>
    </w:p>
    <w:p w:rsidR="00011932" w:rsidRDefault="00011932" w:rsidP="00011932">
      <w:pPr>
        <w:pStyle w:val="KeinLeerraum"/>
        <w:numPr>
          <w:ilvl w:val="0"/>
          <w:numId w:val="3"/>
        </w:numPr>
      </w:pPr>
      <w:r>
        <w:t>Wo/Wann ist Anzeige erschienen</w:t>
      </w:r>
    </w:p>
    <w:p w:rsidR="00011932" w:rsidRDefault="00011932" w:rsidP="00011932">
      <w:pPr>
        <w:pStyle w:val="KeinLeerraum"/>
        <w:numPr>
          <w:ilvl w:val="0"/>
          <w:numId w:val="3"/>
        </w:numPr>
      </w:pPr>
      <w:r>
        <w:t>Gegen wen soll vorgegangen werden</w:t>
      </w:r>
    </w:p>
    <w:p w:rsidR="00011932" w:rsidRDefault="00011932" w:rsidP="00011932">
      <w:pPr>
        <w:pStyle w:val="KeinLeerraum"/>
        <w:numPr>
          <w:ilvl w:val="0"/>
          <w:numId w:val="3"/>
        </w:numPr>
      </w:pPr>
      <w:r>
        <w:t>Weitere Verletzter?</w:t>
      </w:r>
    </w:p>
    <w:p w:rsidR="00011932" w:rsidRDefault="00011932" w:rsidP="00011932">
      <w:pPr>
        <w:pStyle w:val="KeinLeerraum"/>
      </w:pPr>
      <w:r>
        <w:t>2. Vorprozessual: Abmahnung – Unterlassungserklärung</w:t>
      </w:r>
    </w:p>
    <w:p w:rsidR="00011932" w:rsidRDefault="00011932" w:rsidP="00011932">
      <w:pPr>
        <w:pStyle w:val="KeinLeerraum"/>
        <w:ind w:left="705"/>
      </w:pPr>
      <w:r>
        <w:t>Reaktionsmöglichkeiten des Abgemahnten: Abgabe einer Unterlassungserklärung, bei Schweigen oder Ablehnung -&gt; Klage/Einstweilige Verfügung</w:t>
      </w:r>
    </w:p>
    <w:p w:rsidR="00011932" w:rsidRDefault="00011932" w:rsidP="00011932">
      <w:pPr>
        <w:pStyle w:val="KeinLeerraum"/>
      </w:pPr>
      <w:r>
        <w:t>3. Einstweiliges Verfügungsverfahren</w:t>
      </w:r>
    </w:p>
    <w:p w:rsidR="00011932" w:rsidRDefault="005309B4" w:rsidP="005309B4">
      <w:pPr>
        <w:pStyle w:val="KeinLeerraum"/>
        <w:numPr>
          <w:ilvl w:val="0"/>
          <w:numId w:val="4"/>
        </w:numPr>
      </w:pPr>
      <w:r>
        <w:t>Voraussetzung:</w:t>
      </w:r>
    </w:p>
    <w:p w:rsidR="005309B4" w:rsidRDefault="005309B4" w:rsidP="005309B4">
      <w:pPr>
        <w:pStyle w:val="KeinLeerraum"/>
        <w:numPr>
          <w:ilvl w:val="1"/>
          <w:numId w:val="4"/>
        </w:numPr>
      </w:pPr>
      <w:r>
        <w:t>Verfügungsanspruch: Verletzung eines gewerblichen Schutzrechts -&gt; Unterlassung</w:t>
      </w:r>
    </w:p>
    <w:p w:rsidR="005309B4" w:rsidRDefault="005309B4" w:rsidP="005309B4">
      <w:pPr>
        <w:pStyle w:val="KeinLeerraum"/>
        <w:numPr>
          <w:ilvl w:val="1"/>
          <w:numId w:val="4"/>
        </w:numPr>
      </w:pPr>
      <w:r>
        <w:t>Verfügungsgrund: Eilbedürftigkeit, Dringlichkeit</w:t>
      </w:r>
    </w:p>
    <w:p w:rsidR="005309B4" w:rsidRDefault="005309B4" w:rsidP="005309B4">
      <w:pPr>
        <w:pStyle w:val="KeinLeerraum"/>
        <w:numPr>
          <w:ilvl w:val="0"/>
          <w:numId w:val="4"/>
        </w:numPr>
      </w:pPr>
      <w:r>
        <w:t>Besonderheiten:</w:t>
      </w:r>
    </w:p>
    <w:p w:rsidR="005309B4" w:rsidRDefault="005309B4" w:rsidP="005309B4">
      <w:pPr>
        <w:pStyle w:val="KeinLeerraum"/>
        <w:numPr>
          <w:ilvl w:val="1"/>
          <w:numId w:val="4"/>
        </w:numPr>
      </w:pPr>
      <w:r w:rsidRPr="005309B4">
        <w:t>Anhörung des Gegners ist nicht erforderlich</w:t>
      </w:r>
    </w:p>
    <w:p w:rsidR="005309B4" w:rsidRDefault="005309B4" w:rsidP="005309B4">
      <w:pPr>
        <w:pStyle w:val="KeinLeerraum"/>
        <w:numPr>
          <w:ilvl w:val="1"/>
          <w:numId w:val="4"/>
        </w:numPr>
      </w:pPr>
      <w:r>
        <w:t>Nur vorläufige Regelung</w:t>
      </w:r>
    </w:p>
    <w:p w:rsidR="005309B4" w:rsidRDefault="005309B4" w:rsidP="005309B4">
      <w:pPr>
        <w:pStyle w:val="KeinLeerraum"/>
        <w:numPr>
          <w:ilvl w:val="1"/>
          <w:numId w:val="4"/>
        </w:numPr>
      </w:pPr>
      <w:r>
        <w:t>Nur Unterlassung (Auskunft nur bei „offensichtlicher Verletzung“</w:t>
      </w:r>
    </w:p>
    <w:p w:rsidR="005309B4" w:rsidRDefault="005309B4" w:rsidP="005309B4">
      <w:pPr>
        <w:pStyle w:val="KeinLeerraum"/>
        <w:numPr>
          <w:ilvl w:val="0"/>
          <w:numId w:val="4"/>
        </w:numPr>
      </w:pPr>
      <w:r>
        <w:t>Möglichkeiten des Angegriffenen:</w:t>
      </w:r>
    </w:p>
    <w:p w:rsidR="005309B4" w:rsidRDefault="005309B4" w:rsidP="005309B4">
      <w:pPr>
        <w:pStyle w:val="KeinLeerraum"/>
        <w:numPr>
          <w:ilvl w:val="1"/>
          <w:numId w:val="4"/>
        </w:numPr>
      </w:pPr>
      <w:r w:rsidRPr="005309B4">
        <w:rPr>
          <w:b/>
        </w:rPr>
        <w:t>Schutzschrift</w:t>
      </w:r>
      <w:r>
        <w:t>: Darstellung der rechtlichen Position;</w:t>
      </w:r>
      <w:r>
        <w:t xml:space="preserve"> </w:t>
      </w:r>
      <w:r>
        <w:t>Ziel, dass EV nicht erlassen wird, jedenfalls nicht ohne vorherige</w:t>
      </w:r>
      <w:r>
        <w:t xml:space="preserve"> </w:t>
      </w:r>
      <w:r>
        <w:t>mündliche Verhandlung</w:t>
      </w:r>
    </w:p>
    <w:p w:rsidR="005309B4" w:rsidRDefault="005309B4" w:rsidP="005309B4">
      <w:pPr>
        <w:pStyle w:val="KeinLeerraum"/>
        <w:numPr>
          <w:ilvl w:val="1"/>
          <w:numId w:val="4"/>
        </w:numPr>
      </w:pPr>
      <w:r>
        <w:rPr>
          <w:b/>
        </w:rPr>
        <w:t>Widerspruch</w:t>
      </w:r>
      <w:r w:rsidRPr="005309B4">
        <w:t>:</w:t>
      </w:r>
      <w:r>
        <w:rPr>
          <w:b/>
        </w:rPr>
        <w:t xml:space="preserve"> </w:t>
      </w:r>
      <w:r>
        <w:t>mündliche Verhandlung -&gt; evtl. Aufhebung</w:t>
      </w:r>
    </w:p>
    <w:p w:rsidR="005309B4" w:rsidRDefault="005309B4" w:rsidP="005309B4">
      <w:pPr>
        <w:pStyle w:val="KeinLeerraum"/>
        <w:numPr>
          <w:ilvl w:val="1"/>
          <w:numId w:val="4"/>
        </w:numPr>
      </w:pPr>
      <w:r>
        <w:t>Antrag</w:t>
      </w:r>
      <w:r w:rsidR="00F318D3">
        <w:t xml:space="preserve"> auf Erhebung des Hauptsacheverfahrens</w:t>
      </w:r>
    </w:p>
    <w:p w:rsidR="00F318D3" w:rsidRDefault="00F318D3" w:rsidP="005309B4">
      <w:pPr>
        <w:pStyle w:val="KeinLeerraum"/>
        <w:numPr>
          <w:ilvl w:val="1"/>
          <w:numId w:val="4"/>
        </w:numPr>
      </w:pPr>
      <w:r>
        <w:t>Abschlusserklärung – Anerkennung als endgültige Regelung</w:t>
      </w:r>
    </w:p>
    <w:p w:rsidR="00F318D3" w:rsidRDefault="00F318D3" w:rsidP="00F318D3">
      <w:pPr>
        <w:pStyle w:val="KeinLeerraum"/>
        <w:numPr>
          <w:ilvl w:val="0"/>
          <w:numId w:val="4"/>
        </w:numPr>
      </w:pPr>
      <w:r>
        <w:t>Risiken: Schadensersatz</w:t>
      </w:r>
    </w:p>
    <w:p w:rsidR="00F318D3" w:rsidRDefault="002B7734" w:rsidP="00F318D3">
      <w:pPr>
        <w:pStyle w:val="KeinLeerraum"/>
      </w:pPr>
      <w:r>
        <w:t>4. Hauptsacheverfahren</w:t>
      </w:r>
    </w:p>
    <w:p w:rsidR="002B7734" w:rsidRDefault="00855879" w:rsidP="00855879">
      <w:pPr>
        <w:pStyle w:val="KeinLeerraum"/>
        <w:numPr>
          <w:ilvl w:val="0"/>
          <w:numId w:val="5"/>
        </w:numPr>
      </w:pPr>
      <w:r>
        <w:t>Verfahrensschritt nach Abmahnung, wenn Dringlichkeit</w:t>
      </w:r>
      <w:r>
        <w:t xml:space="preserve"> </w:t>
      </w:r>
      <w:r>
        <w:t>nicht mehr gegeben</w:t>
      </w:r>
    </w:p>
    <w:p w:rsidR="00855879" w:rsidRDefault="00855879" w:rsidP="00855879">
      <w:pPr>
        <w:pStyle w:val="KeinLeerraum"/>
        <w:numPr>
          <w:ilvl w:val="0"/>
          <w:numId w:val="5"/>
        </w:numPr>
      </w:pPr>
      <w:r>
        <w:t>ordentliches Verfahren:</w:t>
      </w:r>
    </w:p>
    <w:p w:rsidR="00855879" w:rsidRDefault="00855879" w:rsidP="00855879">
      <w:pPr>
        <w:pStyle w:val="KeinLeerraum"/>
        <w:ind w:left="720"/>
      </w:pPr>
      <w:r>
        <w:t>Klage (</w:t>
      </w:r>
      <w:r w:rsidRPr="00855879">
        <w:t>§ 140 MarkenG - Landgericht</w:t>
      </w:r>
      <w:r>
        <w:t>):</w:t>
      </w:r>
    </w:p>
    <w:p w:rsidR="00855879" w:rsidRDefault="00855879" w:rsidP="007D31CA">
      <w:pPr>
        <w:pStyle w:val="KeinLeerraum"/>
        <w:ind w:left="720"/>
      </w:pPr>
      <w:r>
        <w:t xml:space="preserve">Zustellung </w:t>
      </w:r>
      <w:r>
        <w:t xml:space="preserve">-&gt; Klageerwiderung -&gt; </w:t>
      </w:r>
      <w:r>
        <w:t>mündliche Verhandlung</w:t>
      </w:r>
      <w:r>
        <w:t xml:space="preserve"> -&gt; evtl. Beweisbeschluss -&gt;</w:t>
      </w:r>
      <w:r>
        <w:t xml:space="preserve"> Urteil</w:t>
      </w:r>
    </w:p>
    <w:p w:rsidR="007D31CA" w:rsidRDefault="007D31CA" w:rsidP="007D31CA">
      <w:pPr>
        <w:pStyle w:val="KeinLeerraum"/>
        <w:numPr>
          <w:ilvl w:val="0"/>
          <w:numId w:val="5"/>
        </w:numPr>
      </w:pPr>
      <w:r>
        <w:t>Geltendmachung sämtlicher Ansprüche:</w:t>
      </w:r>
      <w:r>
        <w:t xml:space="preserve"> </w:t>
      </w:r>
      <w:r>
        <w:t>Unterlassung, Schadenser</w:t>
      </w:r>
      <w:r>
        <w:t>satz, Löschung, Auskunft</w:t>
      </w:r>
    </w:p>
    <w:p w:rsidR="007D31CA" w:rsidRDefault="007D31CA" w:rsidP="00E8328B">
      <w:pPr>
        <w:pStyle w:val="KeinLeerraum"/>
      </w:pPr>
    </w:p>
    <w:p w:rsidR="00E8328B" w:rsidRDefault="00E8328B" w:rsidP="00C63019">
      <w:pPr>
        <w:pStyle w:val="KeinLeerraum"/>
        <w:ind w:firstLine="360"/>
      </w:pPr>
      <w:r>
        <w:t>Beispiel Unterlassungsantrag Folie 12</w:t>
      </w:r>
    </w:p>
    <w:p w:rsidR="00E8328B" w:rsidRDefault="00E8328B" w:rsidP="00E8328B">
      <w:pPr>
        <w:pStyle w:val="KeinLeerraum"/>
      </w:pPr>
    </w:p>
    <w:p w:rsidR="00E8328B" w:rsidRDefault="00E8328B" w:rsidP="00C63019">
      <w:pPr>
        <w:pStyle w:val="KeinLeerraum"/>
        <w:ind w:firstLine="360"/>
      </w:pPr>
      <w:r>
        <w:rPr>
          <w:noProof/>
        </w:rPr>
        <w:drawing>
          <wp:inline distT="0" distB="0" distL="0" distR="0" wp14:anchorId="72A27307" wp14:editId="7E153321">
            <wp:extent cx="4611757" cy="251989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3731" cy="257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BAB" w:rsidRDefault="00574BAB" w:rsidP="00C63019">
      <w:pPr>
        <w:pStyle w:val="KeinLeerraum"/>
        <w:ind w:left="360"/>
      </w:pPr>
      <w:r>
        <w:lastRenderedPageBreak/>
        <w:t xml:space="preserve">Dritten ist es untersagt </w:t>
      </w:r>
    </w:p>
    <w:p w:rsidR="00E8328B" w:rsidRDefault="00574BAB" w:rsidP="00C63019">
      <w:pPr>
        <w:pStyle w:val="KeinLeerraum"/>
        <w:numPr>
          <w:ilvl w:val="0"/>
          <w:numId w:val="5"/>
        </w:numPr>
        <w:ind w:left="1080"/>
      </w:pPr>
      <w:r>
        <w:t>…, ein mit der Marke identisches Zeichen für Waren/Dienstleistungen</w:t>
      </w:r>
      <w:r>
        <w:t xml:space="preserve"> </w:t>
      </w:r>
      <w:r>
        <w:t>zu benutzten, die mit demjenigen identisch sind, für die sie Schutz genießt</w:t>
      </w:r>
    </w:p>
    <w:p w:rsidR="00574BAB" w:rsidRDefault="00574BAB" w:rsidP="00C63019">
      <w:pPr>
        <w:pStyle w:val="KeinLeerraum"/>
        <w:numPr>
          <w:ilvl w:val="0"/>
          <w:numId w:val="5"/>
        </w:numPr>
        <w:ind w:left="1080"/>
      </w:pPr>
      <w:r>
        <w:t>… ein Zeichen zu benutzen, wenn wegen Identität oder Ähnlichkeit des Zeichens</w:t>
      </w:r>
      <w:r>
        <w:t xml:space="preserve"> </w:t>
      </w:r>
      <w:r>
        <w:t>mit der Marke und der Identität oder Ähnlichkeit der durch die Marke erfassten Waren/DL für</w:t>
      </w:r>
      <w:r>
        <w:t xml:space="preserve"> </w:t>
      </w:r>
      <w:r>
        <w:t>das Publikum die Gefahr von Verwechslungen besteht</w:t>
      </w:r>
    </w:p>
    <w:p w:rsidR="00574BAB" w:rsidRDefault="00574BAB" w:rsidP="00574BAB">
      <w:pPr>
        <w:pStyle w:val="KeinLeerraum"/>
      </w:pPr>
    </w:p>
    <w:p w:rsidR="006A15F6" w:rsidRDefault="006A15F6" w:rsidP="00C63019">
      <w:pPr>
        <w:pStyle w:val="KeinLeerraum"/>
        <w:ind w:firstLine="708"/>
      </w:pPr>
      <w:r>
        <w:rPr>
          <w:noProof/>
        </w:rPr>
        <w:drawing>
          <wp:inline distT="0" distB="0" distL="0" distR="0" wp14:anchorId="4E349EFB" wp14:editId="6DB2B49B">
            <wp:extent cx="3633746" cy="2301533"/>
            <wp:effectExtent l="0" t="0" r="508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7379" cy="231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F6" w:rsidRDefault="00C63019" w:rsidP="00574BAB">
      <w:pPr>
        <w:pStyle w:val="KeinLeerraum"/>
      </w:pPr>
      <w:r>
        <w:tab/>
      </w:r>
      <w:r>
        <w:rPr>
          <w:noProof/>
        </w:rPr>
        <w:drawing>
          <wp:inline distT="0" distB="0" distL="0" distR="0" wp14:anchorId="69540529" wp14:editId="0759BC1F">
            <wp:extent cx="3999506" cy="2629305"/>
            <wp:effectExtent l="0" t="0" r="127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1608" cy="266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019" w:rsidRDefault="00C63019" w:rsidP="00574BAB">
      <w:pPr>
        <w:pStyle w:val="KeinLeerraum"/>
      </w:pPr>
      <w:r>
        <w:tab/>
      </w:r>
    </w:p>
    <w:p w:rsidR="00C63019" w:rsidRDefault="00924A36" w:rsidP="00924A36">
      <w:pPr>
        <w:pStyle w:val="KeinLeerraum"/>
        <w:ind w:left="708"/>
      </w:pPr>
      <w:r>
        <w:t>Auskunftsansprüche und akzessorischer Auskunftsanspruch zur Berechnung des Schadensersatzanspruchs</w:t>
      </w:r>
      <w:r w:rsidR="00E3158D">
        <w:t>:</w:t>
      </w:r>
    </w:p>
    <w:p w:rsidR="00E3158D" w:rsidRDefault="00E3158D" w:rsidP="00E3158D">
      <w:pPr>
        <w:pStyle w:val="KeinLeerraum"/>
        <w:numPr>
          <w:ilvl w:val="0"/>
          <w:numId w:val="6"/>
        </w:numPr>
      </w:pPr>
      <w:r w:rsidRPr="00E3158D">
        <w:t>Zahl der hergestellten und ausgelieferten Produkte</w:t>
      </w:r>
    </w:p>
    <w:p w:rsidR="00E3158D" w:rsidRDefault="00E3158D" w:rsidP="00E3158D">
      <w:pPr>
        <w:pStyle w:val="KeinLeerraum"/>
        <w:numPr>
          <w:ilvl w:val="0"/>
          <w:numId w:val="6"/>
        </w:numPr>
      </w:pPr>
      <w:r w:rsidRPr="00E3158D">
        <w:t>Gestehungskosten des Verletzers</w:t>
      </w:r>
    </w:p>
    <w:p w:rsidR="00E3158D" w:rsidRDefault="00E3158D" w:rsidP="00E3158D">
      <w:pPr>
        <w:pStyle w:val="KeinLeerraum"/>
        <w:numPr>
          <w:ilvl w:val="0"/>
          <w:numId w:val="6"/>
        </w:numPr>
      </w:pPr>
      <w:r w:rsidRPr="00E3158D">
        <w:t>Angabe von Verkaufspreisen</w:t>
      </w:r>
    </w:p>
    <w:p w:rsidR="00E3158D" w:rsidRDefault="00E3158D" w:rsidP="00E3158D">
      <w:pPr>
        <w:pStyle w:val="KeinLeerraum"/>
      </w:pPr>
    </w:p>
    <w:p w:rsidR="00E3158D" w:rsidRDefault="00891CF4" w:rsidP="00E3158D">
      <w:pPr>
        <w:pStyle w:val="KeinLeerraum"/>
        <w:ind w:left="708"/>
      </w:pPr>
      <w:r>
        <w:t>Schadensersatzansprüche:</w:t>
      </w:r>
    </w:p>
    <w:p w:rsidR="00891CF4" w:rsidRDefault="00891CF4" w:rsidP="00891CF4">
      <w:pPr>
        <w:pStyle w:val="KeinLeerraum"/>
        <w:numPr>
          <w:ilvl w:val="0"/>
          <w:numId w:val="7"/>
        </w:numPr>
      </w:pPr>
      <w:r>
        <w:t>3 Arten (Wahlrecht)</w:t>
      </w:r>
    </w:p>
    <w:p w:rsidR="00891CF4" w:rsidRDefault="00891CF4" w:rsidP="00891CF4">
      <w:pPr>
        <w:pStyle w:val="KeinLeerraum"/>
        <w:numPr>
          <w:ilvl w:val="1"/>
          <w:numId w:val="7"/>
        </w:numPr>
      </w:pPr>
      <w:r w:rsidRPr="00891CF4">
        <w:t>Ersatz des konkreten Schadens (Umsatzeinbuße)</w:t>
      </w:r>
    </w:p>
    <w:p w:rsidR="00891CF4" w:rsidRDefault="00891CF4" w:rsidP="00891CF4">
      <w:pPr>
        <w:pStyle w:val="KeinLeerraum"/>
        <w:numPr>
          <w:ilvl w:val="1"/>
          <w:numId w:val="7"/>
        </w:numPr>
      </w:pPr>
      <w:r w:rsidRPr="00891CF4">
        <w:t>Herausgabe des Verletzergewinns</w:t>
      </w:r>
    </w:p>
    <w:p w:rsidR="00E3158D" w:rsidRDefault="00891CF4" w:rsidP="00891CF4">
      <w:pPr>
        <w:pStyle w:val="KeinLeerraum"/>
        <w:numPr>
          <w:ilvl w:val="1"/>
          <w:numId w:val="7"/>
        </w:numPr>
      </w:pPr>
      <w:r w:rsidRPr="00891CF4">
        <w:t>Schadensersatz nach Lizenzanalogie</w:t>
      </w:r>
    </w:p>
    <w:p w:rsidR="00891CF4" w:rsidRDefault="00891CF4" w:rsidP="00891CF4">
      <w:pPr>
        <w:pStyle w:val="KeinLeerraum"/>
        <w:numPr>
          <w:ilvl w:val="0"/>
          <w:numId w:val="7"/>
        </w:numPr>
      </w:pPr>
      <w:r>
        <w:t>Voraussetzung: Verschulden, d.h. Vorsatz oder Fahrlässigkeit</w:t>
      </w:r>
    </w:p>
    <w:p w:rsidR="00891CF4" w:rsidRDefault="00891CF4" w:rsidP="00891CF4">
      <w:pPr>
        <w:pStyle w:val="KeinLeerraum"/>
      </w:pPr>
    </w:p>
    <w:p w:rsidR="00891CF4" w:rsidRDefault="00891CF4" w:rsidP="00891CF4">
      <w:pPr>
        <w:pStyle w:val="KeinLeerraum"/>
        <w:ind w:left="708"/>
        <w:rPr>
          <w:b/>
        </w:rPr>
      </w:pPr>
      <w:r>
        <w:t xml:space="preserve">Verteidigung des Beklagten: </w:t>
      </w:r>
      <w:r w:rsidRPr="00891CF4">
        <w:rPr>
          <w:b/>
        </w:rPr>
        <w:t>Nichtbenutzungseinrede</w:t>
      </w:r>
    </w:p>
    <w:p w:rsidR="00891CF4" w:rsidRDefault="007D6BBA" w:rsidP="007D6BBA">
      <w:pPr>
        <w:pStyle w:val="KeinLeerraum"/>
      </w:pPr>
      <w:r>
        <w:t>5. Vollstreckungsverfahren</w:t>
      </w:r>
      <w:bookmarkStart w:id="0" w:name="_GoBack"/>
      <w:bookmarkEnd w:id="0"/>
    </w:p>
    <w:sectPr w:rsidR="00891C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5245"/>
    <w:multiLevelType w:val="hybridMultilevel"/>
    <w:tmpl w:val="F338459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186F7D"/>
    <w:multiLevelType w:val="hybridMultilevel"/>
    <w:tmpl w:val="D5A6F1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C5F15"/>
    <w:multiLevelType w:val="hybridMultilevel"/>
    <w:tmpl w:val="64021A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A22CC"/>
    <w:multiLevelType w:val="hybridMultilevel"/>
    <w:tmpl w:val="D2DCF3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879F2"/>
    <w:multiLevelType w:val="hybridMultilevel"/>
    <w:tmpl w:val="212878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E4DB9"/>
    <w:multiLevelType w:val="hybridMultilevel"/>
    <w:tmpl w:val="E77AB7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4487B"/>
    <w:multiLevelType w:val="hybridMultilevel"/>
    <w:tmpl w:val="9766D0B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79"/>
    <w:rsid w:val="00011932"/>
    <w:rsid w:val="002B7734"/>
    <w:rsid w:val="00377F7C"/>
    <w:rsid w:val="005309B4"/>
    <w:rsid w:val="00574BAB"/>
    <w:rsid w:val="006A15F6"/>
    <w:rsid w:val="007D31CA"/>
    <w:rsid w:val="007D6BBA"/>
    <w:rsid w:val="00855879"/>
    <w:rsid w:val="00891CF4"/>
    <w:rsid w:val="00924A36"/>
    <w:rsid w:val="00A62079"/>
    <w:rsid w:val="00C63019"/>
    <w:rsid w:val="00E3158D"/>
    <w:rsid w:val="00E8328B"/>
    <w:rsid w:val="00F3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C30A1"/>
  <w15:chartTrackingRefBased/>
  <w15:docId w15:val="{121A6F8F-4446-43A9-97F3-FCF07AAA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119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2135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ga92fay</dc:creator>
  <cp:keywords/>
  <dc:description/>
  <cp:lastModifiedBy>ga92fay</cp:lastModifiedBy>
  <cp:revision>11</cp:revision>
  <dcterms:created xsi:type="dcterms:W3CDTF">2019-01-07T08:39:00Z</dcterms:created>
  <dcterms:modified xsi:type="dcterms:W3CDTF">2019-01-07T09:54:00Z</dcterms:modified>
</cp:coreProperties>
</file>