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44B" w:rsidRDefault="00B70DA8" w:rsidP="00B70DA8">
      <w:pPr>
        <w:pStyle w:val="KeinLeerraum"/>
      </w:pPr>
      <w:r>
        <w:t>07 Patentverletzung</w:t>
      </w:r>
    </w:p>
    <w:p w:rsidR="00B70DA8" w:rsidRDefault="00B70DA8" w:rsidP="00B70DA8">
      <w:pPr>
        <w:pStyle w:val="KeinLeerraum"/>
      </w:pPr>
    </w:p>
    <w:p w:rsidR="00B70DA8" w:rsidRDefault="00B70DA8" w:rsidP="00B70DA8">
      <w:pPr>
        <w:pStyle w:val="KeinLeerraum"/>
      </w:pPr>
      <w:r>
        <w:t>Ein Patent ist</w:t>
      </w:r>
      <w:r>
        <w:t xml:space="preserve"> in seiner Wirkung </w:t>
      </w:r>
      <w:r w:rsidRPr="00B70DA8">
        <w:rPr>
          <w:u w:val="single"/>
        </w:rPr>
        <w:t>begrenzt</w:t>
      </w:r>
      <w:r>
        <w:t xml:space="preserve"> und </w:t>
      </w:r>
      <w:r>
        <w:t>zwar:</w:t>
      </w:r>
    </w:p>
    <w:p w:rsidR="00B70DA8" w:rsidRDefault="00B70DA8" w:rsidP="00B70DA8">
      <w:pPr>
        <w:pStyle w:val="KeinLeerraum"/>
        <w:numPr>
          <w:ilvl w:val="0"/>
          <w:numId w:val="1"/>
        </w:numPr>
      </w:pPr>
      <w:r>
        <w:t xml:space="preserve">In </w:t>
      </w:r>
      <w:r w:rsidRPr="00B70DA8">
        <w:rPr>
          <w:b/>
        </w:rPr>
        <w:t>sachlicher</w:t>
      </w:r>
      <w:r>
        <w:t xml:space="preserve"> Hinsicht durch seinen rechtlichen</w:t>
      </w:r>
      <w:r>
        <w:t xml:space="preserve"> </w:t>
      </w:r>
      <w:r>
        <w:t>Schutzbereich (bestimmt anhand der Patentansprüche)</w:t>
      </w:r>
    </w:p>
    <w:p w:rsidR="00B70DA8" w:rsidRDefault="00B70DA8" w:rsidP="00B70DA8">
      <w:pPr>
        <w:pStyle w:val="KeinLeerraum"/>
        <w:numPr>
          <w:ilvl w:val="0"/>
          <w:numId w:val="1"/>
        </w:numPr>
      </w:pPr>
      <w:r>
        <w:t xml:space="preserve">in </w:t>
      </w:r>
      <w:r w:rsidRPr="00B70DA8">
        <w:rPr>
          <w:b/>
        </w:rPr>
        <w:t>räumlicher</w:t>
      </w:r>
      <w:r>
        <w:t xml:space="preserve"> Hinsicht durch das Gebiet für das es erteilt</w:t>
      </w:r>
      <w:r>
        <w:t xml:space="preserve"> </w:t>
      </w:r>
      <w:r>
        <w:t>und in Kraft ist (Territorialitätsprinzip)</w:t>
      </w:r>
    </w:p>
    <w:p w:rsidR="00B70DA8" w:rsidRDefault="00B70DA8" w:rsidP="00B70DA8">
      <w:pPr>
        <w:pStyle w:val="KeinLeerraum"/>
        <w:numPr>
          <w:ilvl w:val="0"/>
          <w:numId w:val="1"/>
        </w:numPr>
      </w:pPr>
      <w:r>
        <w:t xml:space="preserve">in </w:t>
      </w:r>
      <w:r w:rsidRPr="00B70DA8">
        <w:rPr>
          <w:b/>
        </w:rPr>
        <w:t>zeitlicher</w:t>
      </w:r>
      <w:r>
        <w:t xml:space="preserve"> Hinsicht durch seine Laufzeit (maximal</w:t>
      </w:r>
      <w:r>
        <w:t xml:space="preserve"> </w:t>
      </w:r>
      <w:r>
        <w:t>20 Jahre ab Anmeldetag)</w:t>
      </w:r>
    </w:p>
    <w:p w:rsidR="00B70DA8" w:rsidRDefault="00B70DA8" w:rsidP="00B70DA8">
      <w:pPr>
        <w:pStyle w:val="KeinLeerraum"/>
      </w:pPr>
    </w:p>
    <w:p w:rsidR="00B70DA8" w:rsidRPr="00AE1DC9" w:rsidRDefault="00E12F85" w:rsidP="00B70DA8">
      <w:pPr>
        <w:pStyle w:val="KeinLeerraum"/>
        <w:rPr>
          <w:b/>
        </w:rPr>
      </w:pPr>
      <w:r w:rsidRPr="00AE1DC9">
        <w:rPr>
          <w:b/>
        </w:rPr>
        <w:t>Sachlicher Schutzbereich:</w:t>
      </w:r>
    </w:p>
    <w:p w:rsidR="00E12F85" w:rsidRDefault="00E12F85" w:rsidP="00E12F85">
      <w:pPr>
        <w:pStyle w:val="KeinLeerraum"/>
      </w:pPr>
      <w:r>
        <w:t xml:space="preserve">„Der Schutzbereich des </w:t>
      </w:r>
      <w:r>
        <w:t xml:space="preserve">Patents und der Patentanmeldung </w:t>
      </w:r>
      <w:r>
        <w:t xml:space="preserve">wird durch den </w:t>
      </w:r>
      <w:r w:rsidRPr="00E12F85">
        <w:rPr>
          <w:b/>
        </w:rPr>
        <w:t>Inhalt der Patentansprüche</w:t>
      </w:r>
      <w:r>
        <w:t xml:space="preserve"> bestimmt. </w:t>
      </w:r>
      <w:r>
        <w:t xml:space="preserve">Die Beschreibung und </w:t>
      </w:r>
      <w:r>
        <w:t xml:space="preserve">die Zeichnungen sind jedoch zur </w:t>
      </w:r>
      <w:r>
        <w:t>Auslegung der Patentansprüche heranzuziehen.“</w:t>
      </w:r>
    </w:p>
    <w:p w:rsidR="00E12F85" w:rsidRDefault="00E12F85" w:rsidP="00E12F85">
      <w:pPr>
        <w:pStyle w:val="KeinLeerraum"/>
        <w:numPr>
          <w:ilvl w:val="0"/>
          <w:numId w:val="2"/>
        </w:numPr>
      </w:pPr>
      <w:r>
        <w:t>Primat der Patentansprüche (</w:t>
      </w:r>
      <w:r w:rsidRPr="00E12F85">
        <w:rPr>
          <w:u w:val="single"/>
        </w:rPr>
        <w:t>Rechtssicherheit</w:t>
      </w:r>
      <w:r>
        <w:t>)</w:t>
      </w:r>
    </w:p>
    <w:p w:rsidR="00E12F85" w:rsidRDefault="00E12F85" w:rsidP="00E12F85">
      <w:pPr>
        <w:pStyle w:val="KeinLeerraum"/>
        <w:numPr>
          <w:ilvl w:val="0"/>
          <w:numId w:val="2"/>
        </w:numPr>
      </w:pPr>
      <w:r>
        <w:t>Beschreibung und Ze</w:t>
      </w:r>
      <w:r>
        <w:t xml:space="preserve">ichnungen sind gleichrangig zur </w:t>
      </w:r>
      <w:r>
        <w:t>Auslegung heranzuziehen (</w:t>
      </w:r>
      <w:r w:rsidRPr="00E12F85">
        <w:rPr>
          <w:u w:val="single"/>
        </w:rPr>
        <w:t>angemessener Schutz</w:t>
      </w:r>
      <w:r>
        <w:t>)</w:t>
      </w:r>
    </w:p>
    <w:p w:rsidR="00E12F85" w:rsidRDefault="00E12F85" w:rsidP="00E12F85">
      <w:pPr>
        <w:pStyle w:val="KeinLeerraum"/>
      </w:pPr>
    </w:p>
    <w:p w:rsidR="00AE1DC9" w:rsidRPr="00AE1DC9" w:rsidRDefault="00AE1DC9" w:rsidP="00AE1DC9">
      <w:pPr>
        <w:pStyle w:val="KeinLeerraum"/>
        <w:rPr>
          <w:b/>
        </w:rPr>
      </w:pPr>
      <w:r w:rsidRPr="00AE1DC9">
        <w:rPr>
          <w:b/>
        </w:rPr>
        <w:t>Voraussetzungen für eine Patentverletzung</w:t>
      </w:r>
    </w:p>
    <w:p w:rsidR="00AE1DC9" w:rsidRDefault="00AE1DC9" w:rsidP="00AE1DC9">
      <w:pPr>
        <w:pStyle w:val="KeinLeerraum"/>
        <w:numPr>
          <w:ilvl w:val="0"/>
          <w:numId w:val="4"/>
        </w:numPr>
      </w:pPr>
      <w:r>
        <w:t>Ein DE-Patent oder ein in Deutschland validiertes EP-Patent</w:t>
      </w:r>
      <w:r>
        <w:t xml:space="preserve"> </w:t>
      </w:r>
      <w:r>
        <w:t>ist in Kraft.</w:t>
      </w:r>
    </w:p>
    <w:p w:rsidR="00AE1DC9" w:rsidRDefault="00AE1DC9" w:rsidP="00AE1DC9">
      <w:pPr>
        <w:pStyle w:val="KeinLeerraum"/>
        <w:numPr>
          <w:ilvl w:val="0"/>
          <w:numId w:val="4"/>
        </w:numPr>
      </w:pPr>
      <w:r>
        <w:t>Der durch die Patentansprüche geschützte Gegenstand wird</w:t>
      </w:r>
      <w:r>
        <w:t xml:space="preserve"> </w:t>
      </w:r>
      <w:r>
        <w:t xml:space="preserve">durch den </w:t>
      </w:r>
      <w:proofErr w:type="spellStart"/>
      <w:r>
        <w:t>Verletzer</w:t>
      </w:r>
      <w:proofErr w:type="spellEnd"/>
      <w:r>
        <w:t xml:space="preserve"> in Deutschland benutzt (hergestellt,</w:t>
      </w:r>
      <w:r>
        <w:t xml:space="preserve"> </w:t>
      </w:r>
      <w:r>
        <w:t>angeboten, verkauft, verwendet, importiert, besessen).</w:t>
      </w:r>
    </w:p>
    <w:p w:rsidR="00AE1DC9" w:rsidRDefault="00AE1DC9" w:rsidP="00AE1DC9">
      <w:pPr>
        <w:pStyle w:val="KeinLeerraum"/>
        <w:numPr>
          <w:ilvl w:val="0"/>
          <w:numId w:val="4"/>
        </w:numPr>
      </w:pPr>
      <w:proofErr w:type="spellStart"/>
      <w:r>
        <w:t>Verletzer</w:t>
      </w:r>
      <w:proofErr w:type="spellEnd"/>
      <w:r>
        <w:t xml:space="preserve"> ist zur Benutzung nicht berechtigt, etwa weil</w:t>
      </w:r>
    </w:p>
    <w:p w:rsidR="00AE1DC9" w:rsidRDefault="00AE1DC9" w:rsidP="00AE1DC9">
      <w:pPr>
        <w:pStyle w:val="KeinLeerraum"/>
        <w:ind w:left="360" w:firstLine="348"/>
      </w:pPr>
      <w:r>
        <w:t>3.1 der Patentinhaber seine Zustimmung explizit (z.B. Lizenz)</w:t>
      </w:r>
      <w:r>
        <w:t xml:space="preserve"> </w:t>
      </w:r>
      <w:r>
        <w:t>oder implizit (Erschöpfung) oder</w:t>
      </w:r>
    </w:p>
    <w:p w:rsidR="00AE1DC9" w:rsidRDefault="00AE1DC9" w:rsidP="00AE1DC9">
      <w:pPr>
        <w:pStyle w:val="KeinLeerraum"/>
        <w:ind w:firstLine="708"/>
      </w:pPr>
      <w:proofErr w:type="gramStart"/>
      <w:r>
        <w:t>3.2</w:t>
      </w:r>
      <w:proofErr w:type="gramEnd"/>
      <w:r>
        <w:t xml:space="preserve"> weil </w:t>
      </w:r>
      <w:proofErr w:type="spellStart"/>
      <w:r>
        <w:t>Verletzer</w:t>
      </w:r>
      <w:proofErr w:type="spellEnd"/>
      <w:r>
        <w:t xml:space="preserve"> ein eigenes Recht auf Benutzung hat,</w:t>
      </w:r>
      <w:r>
        <w:t xml:space="preserve"> (z.B. Vorbenutzungsrecht)</w:t>
      </w:r>
    </w:p>
    <w:p w:rsidR="006D1D5D" w:rsidRDefault="006D1D5D" w:rsidP="006D1D5D">
      <w:pPr>
        <w:pStyle w:val="KeinLeerraum"/>
      </w:pPr>
    </w:p>
    <w:p w:rsidR="006D1D5D" w:rsidRDefault="00253C95" w:rsidP="006D1D5D">
      <w:pPr>
        <w:pStyle w:val="KeinLeerraum"/>
      </w:pPr>
      <w:r>
        <w:rPr>
          <w:noProof/>
        </w:rPr>
        <w:drawing>
          <wp:inline distT="0" distB="0" distL="0" distR="0" wp14:anchorId="574A125B" wp14:editId="30A43F83">
            <wp:extent cx="3689406" cy="2328246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822" cy="233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C9" w:rsidRDefault="00AE1DC9" w:rsidP="00AE1DC9">
      <w:pPr>
        <w:pStyle w:val="KeinLeerraum"/>
      </w:pPr>
    </w:p>
    <w:p w:rsidR="00253C95" w:rsidRDefault="00943CD9" w:rsidP="00AE1DC9">
      <w:pPr>
        <w:pStyle w:val="KeinLeerraum"/>
      </w:pPr>
      <w:r w:rsidRPr="00111810">
        <w:rPr>
          <w:b/>
        </w:rPr>
        <w:t>Äquivalente Verletzung</w:t>
      </w:r>
      <w:r>
        <w:t xml:space="preserve"> von Patenten</w:t>
      </w:r>
    </w:p>
    <w:p w:rsidR="00943CD9" w:rsidRDefault="00702C11" w:rsidP="00AE1DC9">
      <w:pPr>
        <w:pStyle w:val="KeinLeerraum"/>
      </w:pPr>
      <w:r>
        <w:t xml:space="preserve">Folgende 3 Bedingungen müssen </w:t>
      </w:r>
      <w:r w:rsidRPr="00111810">
        <w:rPr>
          <w:b/>
        </w:rPr>
        <w:t>kumulativ</w:t>
      </w:r>
      <w:r>
        <w:t xml:space="preserve"> erfüllt sein:</w:t>
      </w:r>
    </w:p>
    <w:p w:rsidR="00702C11" w:rsidRDefault="00702C11" w:rsidP="00702C11">
      <w:pPr>
        <w:pStyle w:val="KeinLeerraum"/>
        <w:numPr>
          <w:ilvl w:val="0"/>
          <w:numId w:val="5"/>
        </w:numPr>
      </w:pPr>
      <w:r>
        <w:t>Die alternative Lösung hat den gleichen technischen Effekt (</w:t>
      </w:r>
      <w:r w:rsidRPr="00702C11">
        <w:rPr>
          <w:b/>
        </w:rPr>
        <w:t>Gleichwirkung</w:t>
      </w:r>
      <w:r>
        <w:t>)</w:t>
      </w:r>
    </w:p>
    <w:p w:rsidR="00702C11" w:rsidRDefault="00702C11" w:rsidP="00702C11">
      <w:pPr>
        <w:pStyle w:val="KeinLeerraum"/>
        <w:numPr>
          <w:ilvl w:val="0"/>
          <w:numId w:val="5"/>
        </w:numPr>
      </w:pPr>
      <w:r>
        <w:t>wenn der Durchschnittsfachmann mit dem Kenntnisstand</w:t>
      </w:r>
      <w:r>
        <w:t xml:space="preserve"> </w:t>
      </w:r>
      <w:r>
        <w:t>des Prioritätstages ohne erfinderische Überlegungen in der</w:t>
      </w:r>
      <w:r>
        <w:t xml:space="preserve"> </w:t>
      </w:r>
      <w:r>
        <w:t>Lage gewesen ist, das Austauschmittel als funktionsgleiches</w:t>
      </w:r>
      <w:r>
        <w:t xml:space="preserve"> </w:t>
      </w:r>
      <w:r>
        <w:t>Lösungsmittel aufzufinden (</w:t>
      </w:r>
      <w:r w:rsidRPr="00702C11">
        <w:rPr>
          <w:b/>
        </w:rPr>
        <w:t>Naheliegen</w:t>
      </w:r>
      <w:r>
        <w:t>)</w:t>
      </w:r>
    </w:p>
    <w:p w:rsidR="00702C11" w:rsidRDefault="00702C11" w:rsidP="00702C11">
      <w:pPr>
        <w:pStyle w:val="KeinLeerraum"/>
        <w:numPr>
          <w:ilvl w:val="0"/>
          <w:numId w:val="5"/>
        </w:numPr>
      </w:pPr>
      <w:r>
        <w:t xml:space="preserve">wenn der Durchschnittsfachmann die alternative </w:t>
      </w:r>
      <w:r w:rsidRPr="00702C11">
        <w:t>Lösung</w:t>
      </w:r>
      <w:r>
        <w:t xml:space="preserve"> </w:t>
      </w:r>
      <w:r>
        <w:t>angesichts der technischen Lehre der gesamten</w:t>
      </w:r>
      <w:r>
        <w:t xml:space="preserve"> </w:t>
      </w:r>
      <w:r>
        <w:t>Patentschrift als gleichwertig (</w:t>
      </w:r>
      <w:r w:rsidRPr="00702C11">
        <w:rPr>
          <w:b/>
        </w:rPr>
        <w:t>Gleichwertigkeit</w:t>
      </w:r>
      <w:r>
        <w:t>)</w:t>
      </w:r>
      <w:r>
        <w:t xml:space="preserve"> </w:t>
      </w:r>
      <w:r>
        <w:t>betrachtet</w:t>
      </w:r>
    </w:p>
    <w:p w:rsidR="00073D81" w:rsidRDefault="00073D81">
      <w:r>
        <w:br w:type="page"/>
      </w:r>
    </w:p>
    <w:p w:rsidR="00702C11" w:rsidRDefault="00073D81" w:rsidP="00702C11">
      <w:pPr>
        <w:pStyle w:val="KeinLeerraum"/>
      </w:pPr>
      <w:r w:rsidRPr="00B41BF3">
        <w:rPr>
          <w:b/>
        </w:rPr>
        <w:lastRenderedPageBreak/>
        <w:t>Sachlicher Schutzbereich</w:t>
      </w:r>
      <w:r>
        <w:t xml:space="preserve"> Zusammenfassung:</w:t>
      </w:r>
    </w:p>
    <w:p w:rsidR="00073D81" w:rsidRDefault="00073D81" w:rsidP="00073D81">
      <w:pPr>
        <w:pStyle w:val="KeinLeerraum"/>
        <w:numPr>
          <w:ilvl w:val="0"/>
          <w:numId w:val="6"/>
        </w:numPr>
      </w:pPr>
      <w:r>
        <w:t xml:space="preserve">Sachlicher Schutzbereich durch die </w:t>
      </w:r>
      <w:r w:rsidRPr="00B41BF3">
        <w:rPr>
          <w:u w:val="single"/>
        </w:rPr>
        <w:t>Patentansprüche</w:t>
      </w:r>
      <w:r>
        <w:t xml:space="preserve"> bestimmt;</w:t>
      </w:r>
    </w:p>
    <w:p w:rsidR="00073D81" w:rsidRDefault="00073D81" w:rsidP="00073D81">
      <w:pPr>
        <w:pStyle w:val="KeinLeerraum"/>
        <w:numPr>
          <w:ilvl w:val="0"/>
          <w:numId w:val="6"/>
        </w:numPr>
      </w:pPr>
      <w:r w:rsidRPr="00B41BF3">
        <w:rPr>
          <w:u w:val="single"/>
        </w:rPr>
        <w:t>Beschreibung</w:t>
      </w:r>
      <w:r>
        <w:t xml:space="preserve"> und </w:t>
      </w:r>
      <w:r w:rsidRPr="00B41BF3">
        <w:rPr>
          <w:u w:val="single"/>
        </w:rPr>
        <w:t>Zeichnung</w:t>
      </w:r>
      <w:r>
        <w:t xml:space="preserve"> dienen der </w:t>
      </w:r>
      <w:r w:rsidRPr="00B41BF3">
        <w:rPr>
          <w:u w:val="single"/>
        </w:rPr>
        <w:t>Auslegung</w:t>
      </w:r>
      <w:r>
        <w:t xml:space="preserve"> der</w:t>
      </w:r>
      <w:r>
        <w:t xml:space="preserve"> </w:t>
      </w:r>
      <w:r>
        <w:t>Patentansprüche;</w:t>
      </w:r>
    </w:p>
    <w:p w:rsidR="00073D81" w:rsidRDefault="00073D81" w:rsidP="00073D81">
      <w:pPr>
        <w:pStyle w:val="KeinLeerraum"/>
        <w:numPr>
          <w:ilvl w:val="0"/>
          <w:numId w:val="6"/>
        </w:numPr>
      </w:pPr>
      <w:r>
        <w:t>Nicht der genaue Wortlaut der Patentansprüche, sondern deren</w:t>
      </w:r>
      <w:r>
        <w:t xml:space="preserve"> </w:t>
      </w:r>
      <w:r w:rsidRPr="00B41BF3">
        <w:rPr>
          <w:u w:val="single"/>
        </w:rPr>
        <w:t>Sachgehalt</w:t>
      </w:r>
      <w:r>
        <w:t xml:space="preserve"> ist maßgeblich;</w:t>
      </w:r>
    </w:p>
    <w:p w:rsidR="00073D81" w:rsidRDefault="00073D81" w:rsidP="00073D81">
      <w:pPr>
        <w:pStyle w:val="KeinLeerraum"/>
        <w:numPr>
          <w:ilvl w:val="0"/>
          <w:numId w:val="6"/>
        </w:numPr>
      </w:pPr>
      <w:r>
        <w:t xml:space="preserve">Patent ist sein </w:t>
      </w:r>
      <w:r w:rsidRPr="00B41BF3">
        <w:rPr>
          <w:u w:val="single"/>
        </w:rPr>
        <w:t>eigenes</w:t>
      </w:r>
      <w:r>
        <w:t xml:space="preserve"> </w:t>
      </w:r>
      <w:r w:rsidRPr="00B41BF3">
        <w:rPr>
          <w:u w:val="single"/>
        </w:rPr>
        <w:t>Lexikon</w:t>
      </w:r>
      <w:r>
        <w:t>;</w:t>
      </w:r>
    </w:p>
    <w:p w:rsidR="00073D81" w:rsidRDefault="00073D81" w:rsidP="00073D81">
      <w:pPr>
        <w:pStyle w:val="KeinLeerraum"/>
        <w:numPr>
          <w:ilvl w:val="0"/>
          <w:numId w:val="6"/>
        </w:numPr>
      </w:pPr>
      <w:r w:rsidRPr="00B41BF3">
        <w:rPr>
          <w:u w:val="single"/>
        </w:rPr>
        <w:t>Ausführungsbeispiele</w:t>
      </w:r>
      <w:r>
        <w:t xml:space="preserve"> sind nicht schutzbereichsbeschränkend;</w:t>
      </w:r>
    </w:p>
    <w:p w:rsidR="00073D81" w:rsidRDefault="00073D81" w:rsidP="00073D81">
      <w:pPr>
        <w:pStyle w:val="KeinLeerraum"/>
        <w:numPr>
          <w:ilvl w:val="0"/>
          <w:numId w:val="6"/>
        </w:numPr>
      </w:pPr>
      <w:r>
        <w:t>Stand der Technik und Erteilung</w:t>
      </w:r>
      <w:r>
        <w:t xml:space="preserve">sakte stellen grundsätzlich </w:t>
      </w:r>
      <w:r w:rsidRPr="00B41BF3">
        <w:rPr>
          <w:u w:val="single"/>
        </w:rPr>
        <w:t>kein</w:t>
      </w:r>
      <w:r>
        <w:t xml:space="preserve"> </w:t>
      </w:r>
      <w:r w:rsidRPr="00B41BF3">
        <w:rPr>
          <w:u w:val="single"/>
        </w:rPr>
        <w:t>Auslegungsmittel</w:t>
      </w:r>
      <w:r>
        <w:t xml:space="preserve"> dar;</w:t>
      </w:r>
    </w:p>
    <w:p w:rsidR="00073D81" w:rsidRDefault="00073D81" w:rsidP="00073D81">
      <w:pPr>
        <w:pStyle w:val="KeinLeerraum"/>
        <w:numPr>
          <w:ilvl w:val="0"/>
          <w:numId w:val="6"/>
        </w:numPr>
      </w:pPr>
      <w:r>
        <w:t xml:space="preserve">Voraussetzungen einer </w:t>
      </w:r>
      <w:r w:rsidRPr="00B41BF3">
        <w:rPr>
          <w:u w:val="single"/>
        </w:rPr>
        <w:t>äquivalenten</w:t>
      </w:r>
      <w:r>
        <w:t xml:space="preserve"> Benutzung: Gleichwirkung,</w:t>
      </w:r>
      <w:r>
        <w:t xml:space="preserve"> </w:t>
      </w:r>
      <w:r>
        <w:t>Naheliegen, Gleichwertigkeit;</w:t>
      </w:r>
    </w:p>
    <w:p w:rsidR="00073D81" w:rsidRDefault="00073D81" w:rsidP="00073D81">
      <w:pPr>
        <w:pStyle w:val="KeinLeerraum"/>
        <w:numPr>
          <w:ilvl w:val="0"/>
          <w:numId w:val="6"/>
        </w:numPr>
      </w:pPr>
      <w:r w:rsidRPr="00B41BF3">
        <w:rPr>
          <w:u w:val="single"/>
        </w:rPr>
        <w:t>Absoluter</w:t>
      </w:r>
      <w:r>
        <w:t xml:space="preserve"> </w:t>
      </w:r>
      <w:r w:rsidRPr="00B41BF3">
        <w:rPr>
          <w:u w:val="single"/>
        </w:rPr>
        <w:t>Schutz</w:t>
      </w:r>
      <w:r>
        <w:t xml:space="preserve"> (d.h. grundsätzlich alle Zwecke, Funktionen,</w:t>
      </w:r>
      <w:r>
        <w:t xml:space="preserve"> </w:t>
      </w:r>
      <w:r>
        <w:t>Verwendungsmöglichkeiten</w:t>
      </w:r>
      <w:r>
        <w:t>)</w:t>
      </w:r>
    </w:p>
    <w:p w:rsidR="00B41BF3" w:rsidRDefault="00B41BF3" w:rsidP="00B41BF3">
      <w:pPr>
        <w:pStyle w:val="KeinLeerraum"/>
      </w:pPr>
    </w:p>
    <w:p w:rsidR="00B41BF3" w:rsidRPr="001B15E4" w:rsidRDefault="0036535A" w:rsidP="00B41BF3">
      <w:pPr>
        <w:pStyle w:val="KeinLeerraum"/>
        <w:rPr>
          <w:b/>
        </w:rPr>
      </w:pPr>
      <w:r w:rsidRPr="001B15E4">
        <w:rPr>
          <w:b/>
        </w:rPr>
        <w:t>Europäisches Patent Übereinkommen</w:t>
      </w:r>
    </w:p>
    <w:p w:rsidR="0036535A" w:rsidRDefault="0036535A" w:rsidP="007C5528">
      <w:pPr>
        <w:pStyle w:val="KeinLeerraum"/>
        <w:numPr>
          <w:ilvl w:val="0"/>
          <w:numId w:val="7"/>
        </w:numPr>
      </w:pPr>
      <w:r>
        <w:t>38 Mitgliedsstaaten</w:t>
      </w:r>
    </w:p>
    <w:p w:rsidR="0036535A" w:rsidRDefault="007C5528" w:rsidP="007C5528">
      <w:pPr>
        <w:pStyle w:val="KeinLeerraum"/>
        <w:numPr>
          <w:ilvl w:val="0"/>
          <w:numId w:val="7"/>
        </w:numPr>
      </w:pPr>
      <w:r>
        <w:t xml:space="preserve">Gerichtsverfahren </w:t>
      </w:r>
      <w:r>
        <w:t xml:space="preserve">werden vor nationalen Gerichten </w:t>
      </w:r>
      <w:r>
        <w:t>der Vertragsstaaten</w:t>
      </w:r>
      <w:r>
        <w:t xml:space="preserve"> unter Anwendung der jeweiligen </w:t>
      </w:r>
      <w:r>
        <w:t>nationalen Verfahrensregeln geführt</w:t>
      </w:r>
    </w:p>
    <w:p w:rsidR="007C5528" w:rsidRDefault="007C5528" w:rsidP="007C5528">
      <w:pPr>
        <w:pStyle w:val="KeinLeerraum"/>
        <w:numPr>
          <w:ilvl w:val="0"/>
          <w:numId w:val="7"/>
        </w:numPr>
      </w:pPr>
      <w:r w:rsidRPr="007C5528">
        <w:t>Kein zentrales Berufungsgericht in Verletzungssachen</w:t>
      </w:r>
      <w:r>
        <w:t xml:space="preserve"> / Rechtsbeständigkeit von Patenten</w:t>
      </w:r>
    </w:p>
    <w:p w:rsidR="00A32F74" w:rsidRDefault="00A32F74" w:rsidP="00A32F74">
      <w:pPr>
        <w:pStyle w:val="KeinLeerraum"/>
        <w:numPr>
          <w:ilvl w:val="0"/>
          <w:numId w:val="7"/>
        </w:numPr>
      </w:pPr>
      <w:r w:rsidRPr="00A32F74">
        <w:t xml:space="preserve">Es besteht bisher nur ein </w:t>
      </w:r>
      <w:r w:rsidRPr="00AE1DE4">
        <w:rPr>
          <w:u w:val="single"/>
        </w:rPr>
        <w:t>zentralisiertes</w:t>
      </w:r>
      <w:r w:rsidRPr="00AE1DE4">
        <w:rPr>
          <w:u w:val="single"/>
        </w:rPr>
        <w:t xml:space="preserve"> </w:t>
      </w:r>
      <w:r w:rsidRPr="00AE1DE4">
        <w:rPr>
          <w:u w:val="single"/>
        </w:rPr>
        <w:t>Erteilungsverfahren</w:t>
      </w:r>
      <w:r w:rsidRPr="00A32F74">
        <w:t xml:space="preserve"> vor dem EPA für</w:t>
      </w:r>
      <w:r>
        <w:t xml:space="preserve"> EPÜ-Mitgliedsstaaten</w:t>
      </w:r>
    </w:p>
    <w:p w:rsidR="00A32F74" w:rsidRDefault="00A32F74" w:rsidP="00A32F74">
      <w:pPr>
        <w:pStyle w:val="KeinLeerraum"/>
      </w:pPr>
    </w:p>
    <w:p w:rsidR="00A32F74" w:rsidRDefault="00AE1DE4" w:rsidP="00A32F74">
      <w:pPr>
        <w:pStyle w:val="KeinLeerraum"/>
      </w:pPr>
      <w:r>
        <w:rPr>
          <w:noProof/>
        </w:rPr>
        <w:drawing>
          <wp:inline distT="0" distB="0" distL="0" distR="0" wp14:anchorId="159196E4" wp14:editId="5D965179">
            <wp:extent cx="3339548" cy="181076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597" cy="18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28" w:rsidRDefault="007C5528" w:rsidP="007C5528">
      <w:pPr>
        <w:pStyle w:val="KeinLeerraum"/>
      </w:pPr>
    </w:p>
    <w:p w:rsidR="00BF7499" w:rsidRPr="00BF7499" w:rsidRDefault="00BF7499" w:rsidP="007C5528">
      <w:pPr>
        <w:pStyle w:val="KeinLeerraum"/>
        <w:rPr>
          <w:b/>
        </w:rPr>
      </w:pPr>
      <w:r w:rsidRPr="00BF7499">
        <w:rPr>
          <w:b/>
        </w:rPr>
        <w:t>Gerichtsinstanzen:</w:t>
      </w:r>
    </w:p>
    <w:p w:rsidR="00BF7499" w:rsidRDefault="00BF7499" w:rsidP="00BF7499">
      <w:pPr>
        <w:pStyle w:val="KeinLeerraum"/>
        <w:numPr>
          <w:ilvl w:val="0"/>
          <w:numId w:val="8"/>
        </w:numPr>
      </w:pPr>
      <w:r>
        <w:t>Verletzung:</w:t>
      </w:r>
    </w:p>
    <w:p w:rsidR="00BF7499" w:rsidRDefault="00BF7499" w:rsidP="00BF7499">
      <w:pPr>
        <w:pStyle w:val="KeinLeerraum"/>
        <w:numPr>
          <w:ilvl w:val="1"/>
          <w:numId w:val="8"/>
        </w:numPr>
      </w:pPr>
      <w:r>
        <w:t>Landgericht</w:t>
      </w:r>
    </w:p>
    <w:p w:rsidR="00BF7499" w:rsidRDefault="00BF7499" w:rsidP="00BF7499">
      <w:pPr>
        <w:pStyle w:val="KeinLeerraum"/>
        <w:numPr>
          <w:ilvl w:val="1"/>
          <w:numId w:val="8"/>
        </w:numPr>
      </w:pPr>
      <w:r>
        <w:t>Oberlandesgericht</w:t>
      </w:r>
    </w:p>
    <w:p w:rsidR="00BF7499" w:rsidRDefault="00BF7499" w:rsidP="00BF7499">
      <w:pPr>
        <w:pStyle w:val="KeinLeerraum"/>
        <w:numPr>
          <w:ilvl w:val="1"/>
          <w:numId w:val="8"/>
        </w:numPr>
      </w:pPr>
      <w:r>
        <w:t>Bundesgerichtshof</w:t>
      </w:r>
    </w:p>
    <w:p w:rsidR="00BF7499" w:rsidRDefault="00BF7499" w:rsidP="00BF7499">
      <w:pPr>
        <w:pStyle w:val="KeinLeerraum"/>
        <w:numPr>
          <w:ilvl w:val="0"/>
          <w:numId w:val="8"/>
        </w:numPr>
      </w:pPr>
      <w:r>
        <w:t>Nichtigkeit</w:t>
      </w:r>
    </w:p>
    <w:p w:rsidR="00BF7499" w:rsidRDefault="00BF7499" w:rsidP="00BF7499">
      <w:pPr>
        <w:pStyle w:val="KeinLeerraum"/>
        <w:numPr>
          <w:ilvl w:val="1"/>
          <w:numId w:val="8"/>
        </w:numPr>
      </w:pPr>
      <w:r>
        <w:t>Bundespatentgericht</w:t>
      </w:r>
    </w:p>
    <w:p w:rsidR="00BF7499" w:rsidRDefault="00BF7499" w:rsidP="00BF7499">
      <w:pPr>
        <w:pStyle w:val="KeinLeerraum"/>
        <w:numPr>
          <w:ilvl w:val="1"/>
          <w:numId w:val="8"/>
        </w:numPr>
      </w:pPr>
      <w:r>
        <w:t>Bundesgerichtshof</w:t>
      </w:r>
    </w:p>
    <w:p w:rsidR="00BF7499" w:rsidRDefault="00BF7499" w:rsidP="00BF7499">
      <w:pPr>
        <w:pStyle w:val="KeinLeerraum"/>
      </w:pPr>
    </w:p>
    <w:p w:rsidR="00BF7499" w:rsidRPr="00D4068A" w:rsidRDefault="002D65CE" w:rsidP="00BF7499">
      <w:pPr>
        <w:pStyle w:val="KeinLeerraum"/>
        <w:rPr>
          <w:b/>
        </w:rPr>
      </w:pPr>
      <w:r w:rsidRPr="00D4068A">
        <w:rPr>
          <w:b/>
        </w:rPr>
        <w:t>Verletzung:</w:t>
      </w:r>
    </w:p>
    <w:p w:rsidR="002D65CE" w:rsidRDefault="002D65CE" w:rsidP="002D65CE">
      <w:pPr>
        <w:pStyle w:val="KeinLeerraum"/>
        <w:numPr>
          <w:ilvl w:val="0"/>
          <w:numId w:val="9"/>
        </w:numPr>
      </w:pPr>
      <w:r>
        <w:t>Handlung</w:t>
      </w:r>
    </w:p>
    <w:p w:rsidR="002D65CE" w:rsidRDefault="002D65CE" w:rsidP="002D65CE">
      <w:pPr>
        <w:pStyle w:val="KeinLeerraum"/>
        <w:numPr>
          <w:ilvl w:val="1"/>
          <w:numId w:val="9"/>
        </w:numPr>
      </w:pPr>
      <w:r>
        <w:t>Direkt</w:t>
      </w:r>
    </w:p>
    <w:p w:rsidR="002D65CE" w:rsidRDefault="002D65CE" w:rsidP="002D65CE">
      <w:pPr>
        <w:pStyle w:val="KeinLeerraum"/>
        <w:numPr>
          <w:ilvl w:val="1"/>
          <w:numId w:val="9"/>
        </w:numPr>
      </w:pPr>
      <w:r>
        <w:t>Indirekt (mittelbar)</w:t>
      </w:r>
    </w:p>
    <w:p w:rsidR="002D65CE" w:rsidRDefault="00514F5B" w:rsidP="002D65CE">
      <w:pPr>
        <w:pStyle w:val="KeinLeerraum"/>
        <w:numPr>
          <w:ilvl w:val="0"/>
          <w:numId w:val="9"/>
        </w:numPr>
      </w:pPr>
      <w:r>
        <w:t>Schutzbereich</w:t>
      </w:r>
    </w:p>
    <w:p w:rsidR="002D65CE" w:rsidRDefault="002D65CE" w:rsidP="002D65CE">
      <w:pPr>
        <w:pStyle w:val="KeinLeerraum"/>
        <w:numPr>
          <w:ilvl w:val="1"/>
          <w:numId w:val="9"/>
        </w:numPr>
      </w:pPr>
      <w:r>
        <w:t>Wortsinngemäß</w:t>
      </w:r>
    </w:p>
    <w:p w:rsidR="002D65CE" w:rsidRDefault="002D65CE" w:rsidP="002D65CE">
      <w:pPr>
        <w:pStyle w:val="KeinLeerraum"/>
        <w:numPr>
          <w:ilvl w:val="1"/>
          <w:numId w:val="9"/>
        </w:numPr>
      </w:pPr>
      <w:r>
        <w:t>Ä</w:t>
      </w:r>
      <w:r w:rsidR="00514F5B">
        <w:t>quival</w:t>
      </w:r>
      <w:r>
        <w:t>ent</w:t>
      </w:r>
    </w:p>
    <w:p w:rsidR="0056410B" w:rsidRDefault="0056410B" w:rsidP="0056410B">
      <w:r>
        <w:br w:type="page"/>
      </w:r>
    </w:p>
    <w:p w:rsidR="002D65CE" w:rsidRDefault="0056410B" w:rsidP="002D65CE">
      <w:pPr>
        <w:pStyle w:val="KeinLeerraum"/>
      </w:pPr>
      <w:r>
        <w:lastRenderedPageBreak/>
        <w:t>Direkte Handlungen:</w:t>
      </w:r>
    </w:p>
    <w:p w:rsidR="0056410B" w:rsidRDefault="00543B95" w:rsidP="00543B95">
      <w:pPr>
        <w:pStyle w:val="KeinLeerraum"/>
        <w:numPr>
          <w:ilvl w:val="0"/>
          <w:numId w:val="10"/>
        </w:numPr>
      </w:pPr>
      <w:r>
        <w:t>Herstellen</w:t>
      </w:r>
    </w:p>
    <w:p w:rsidR="00543B95" w:rsidRDefault="00543B95" w:rsidP="00543B95">
      <w:pPr>
        <w:pStyle w:val="KeinLeerraum"/>
        <w:numPr>
          <w:ilvl w:val="0"/>
          <w:numId w:val="10"/>
        </w:numPr>
      </w:pPr>
      <w:r>
        <w:t>Anbieten</w:t>
      </w:r>
    </w:p>
    <w:p w:rsidR="00543B95" w:rsidRDefault="00543B95" w:rsidP="00543B95">
      <w:pPr>
        <w:pStyle w:val="KeinLeerraum"/>
        <w:numPr>
          <w:ilvl w:val="0"/>
          <w:numId w:val="10"/>
        </w:numPr>
      </w:pPr>
      <w:r>
        <w:t>In Verkehr bringen</w:t>
      </w:r>
    </w:p>
    <w:p w:rsidR="00543B95" w:rsidRDefault="00543B95" w:rsidP="00543B95">
      <w:pPr>
        <w:pStyle w:val="KeinLeerraum"/>
        <w:numPr>
          <w:ilvl w:val="0"/>
          <w:numId w:val="10"/>
        </w:numPr>
      </w:pPr>
      <w:r>
        <w:t>Gebrauchen</w:t>
      </w:r>
    </w:p>
    <w:p w:rsidR="00543B95" w:rsidRDefault="00543B95" w:rsidP="00543B95">
      <w:pPr>
        <w:pStyle w:val="KeinLeerraum"/>
        <w:numPr>
          <w:ilvl w:val="0"/>
          <w:numId w:val="10"/>
        </w:numPr>
      </w:pPr>
      <w:r>
        <w:t xml:space="preserve">Einführen </w:t>
      </w:r>
    </w:p>
    <w:p w:rsidR="00543B95" w:rsidRDefault="00543B95" w:rsidP="00543B95">
      <w:pPr>
        <w:pStyle w:val="KeinLeerraum"/>
        <w:numPr>
          <w:ilvl w:val="0"/>
          <w:numId w:val="10"/>
        </w:numPr>
      </w:pPr>
      <w:r>
        <w:t>Besitzen</w:t>
      </w:r>
    </w:p>
    <w:p w:rsidR="00543B95" w:rsidRDefault="00543B95" w:rsidP="00543B95">
      <w:pPr>
        <w:pStyle w:val="KeinLeerraum"/>
      </w:pPr>
    </w:p>
    <w:p w:rsidR="00543B95" w:rsidRDefault="00543B95" w:rsidP="00543B95">
      <w:pPr>
        <w:pStyle w:val="KeinLeerraum"/>
      </w:pPr>
      <w:r>
        <w:t>Mittelbar:</w:t>
      </w:r>
    </w:p>
    <w:p w:rsidR="00543B95" w:rsidRDefault="00543B95" w:rsidP="00543B95">
      <w:pPr>
        <w:pStyle w:val="KeinLeerraum"/>
        <w:numPr>
          <w:ilvl w:val="0"/>
          <w:numId w:val="11"/>
        </w:numPr>
      </w:pPr>
      <w:r w:rsidRPr="00543B95">
        <w:rPr>
          <w:u w:val="single"/>
        </w:rPr>
        <w:t>Anbieten</w:t>
      </w:r>
      <w:r>
        <w:t xml:space="preserve"> oder </w:t>
      </w:r>
      <w:r w:rsidRPr="00543B95">
        <w:rPr>
          <w:u w:val="single"/>
        </w:rPr>
        <w:t>liefern</w:t>
      </w:r>
      <w:r>
        <w:t xml:space="preserve"> durch eine Person</w:t>
      </w:r>
    </w:p>
    <w:p w:rsidR="00543B95" w:rsidRDefault="00543B95" w:rsidP="00543B95">
      <w:pPr>
        <w:pStyle w:val="KeinLeerraum"/>
        <w:numPr>
          <w:ilvl w:val="0"/>
          <w:numId w:val="11"/>
        </w:numPr>
      </w:pPr>
      <w:r w:rsidRPr="00543B95">
        <w:rPr>
          <w:u w:val="single"/>
        </w:rPr>
        <w:t>Ohne</w:t>
      </w:r>
      <w:r>
        <w:t xml:space="preserve"> </w:t>
      </w:r>
      <w:r w:rsidRPr="00543B95">
        <w:rPr>
          <w:u w:val="single"/>
        </w:rPr>
        <w:t>Zustimmung</w:t>
      </w:r>
      <w:r>
        <w:t xml:space="preserve"> des Patentinhabers</w:t>
      </w:r>
    </w:p>
    <w:p w:rsidR="00543B95" w:rsidRDefault="00543B95" w:rsidP="00543B95">
      <w:pPr>
        <w:pStyle w:val="KeinLeerraum"/>
        <w:numPr>
          <w:ilvl w:val="0"/>
          <w:numId w:val="11"/>
        </w:numPr>
      </w:pPr>
      <w:r>
        <w:t xml:space="preserve">An eine zur Benutzung der patentierten Erfindung </w:t>
      </w:r>
      <w:r w:rsidRPr="00543B95">
        <w:rPr>
          <w:u w:val="single"/>
        </w:rPr>
        <w:t>nicht</w:t>
      </w:r>
      <w:r>
        <w:t xml:space="preserve"> </w:t>
      </w:r>
      <w:r w:rsidRPr="00543B95">
        <w:rPr>
          <w:u w:val="single"/>
        </w:rPr>
        <w:t>berechtigten</w:t>
      </w:r>
      <w:r>
        <w:t xml:space="preserve"> Person</w:t>
      </w:r>
    </w:p>
    <w:p w:rsidR="00543B95" w:rsidRDefault="00543B95" w:rsidP="00543B95">
      <w:pPr>
        <w:pStyle w:val="KeinLeerraum"/>
        <w:numPr>
          <w:ilvl w:val="0"/>
          <w:numId w:val="11"/>
        </w:numPr>
      </w:pPr>
      <w:r w:rsidRPr="00543B95">
        <w:rPr>
          <w:u w:val="single"/>
        </w:rPr>
        <w:t>Mittel</w:t>
      </w:r>
      <w:r>
        <w:t xml:space="preserve">, die sich auf ein </w:t>
      </w:r>
      <w:r w:rsidRPr="00543B95">
        <w:rPr>
          <w:u w:val="single"/>
        </w:rPr>
        <w:t>wesentliches</w:t>
      </w:r>
      <w:r>
        <w:t xml:space="preserve"> Element der Erfindung beziehen und </w:t>
      </w:r>
      <w:r w:rsidRPr="00543B95">
        <w:rPr>
          <w:u w:val="single"/>
        </w:rPr>
        <w:t>geeignet</w:t>
      </w:r>
      <w:r>
        <w:t xml:space="preserve"> und </w:t>
      </w:r>
      <w:r w:rsidRPr="00543B95">
        <w:rPr>
          <w:u w:val="single"/>
        </w:rPr>
        <w:t>bestimmt</w:t>
      </w:r>
      <w:r>
        <w:t xml:space="preserve"> sind, für die Benutzung der Erfindung verwendet zu werden</w:t>
      </w:r>
    </w:p>
    <w:p w:rsidR="00543B95" w:rsidRDefault="00543B95" w:rsidP="00543B95">
      <w:pPr>
        <w:pStyle w:val="KeinLeerraum"/>
        <w:numPr>
          <w:ilvl w:val="0"/>
          <w:numId w:val="11"/>
        </w:numPr>
      </w:pPr>
      <w:r>
        <w:t xml:space="preserve">Dies ist der Person </w:t>
      </w:r>
      <w:r w:rsidRPr="00543B95">
        <w:rPr>
          <w:u w:val="single"/>
        </w:rPr>
        <w:t>bekannt</w:t>
      </w:r>
      <w:r>
        <w:t xml:space="preserve"> oder </w:t>
      </w:r>
      <w:r w:rsidRPr="00543B95">
        <w:rPr>
          <w:u w:val="single"/>
        </w:rPr>
        <w:t>offensichtlich</w:t>
      </w:r>
      <w:r>
        <w:t xml:space="preserve"> aus den Umständen</w:t>
      </w:r>
    </w:p>
    <w:p w:rsidR="00BF7499" w:rsidRDefault="00543B95" w:rsidP="007C5528">
      <w:pPr>
        <w:pStyle w:val="KeinLeerraum"/>
      </w:pPr>
      <w:r>
        <w:rPr>
          <w:noProof/>
        </w:rPr>
        <w:drawing>
          <wp:inline distT="0" distB="0" distL="0" distR="0" wp14:anchorId="3497AD2A" wp14:editId="3F69679F">
            <wp:extent cx="4184805" cy="2480807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813" cy="24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95" w:rsidRDefault="00543B95" w:rsidP="007C5528">
      <w:pPr>
        <w:pStyle w:val="KeinLeerraum"/>
      </w:pPr>
    </w:p>
    <w:p w:rsidR="00543B95" w:rsidRDefault="00B85C5E" w:rsidP="007C5528">
      <w:pPr>
        <w:pStyle w:val="KeinLeerraum"/>
      </w:pPr>
      <w:r>
        <w:t>Was tun bei Verletzung:</w:t>
      </w:r>
    </w:p>
    <w:p w:rsidR="00B85C5E" w:rsidRDefault="00C20797" w:rsidP="00C20797">
      <w:pPr>
        <w:pStyle w:val="KeinLeerraum"/>
        <w:numPr>
          <w:ilvl w:val="0"/>
          <w:numId w:val="12"/>
        </w:numPr>
      </w:pPr>
      <w:r>
        <w:t>Einstweilige Verfügung gerichtlich zu erwirken</w:t>
      </w:r>
    </w:p>
    <w:p w:rsidR="00C20797" w:rsidRDefault="00C20797" w:rsidP="00C20797">
      <w:pPr>
        <w:pStyle w:val="KeinLeerraum"/>
        <w:numPr>
          <w:ilvl w:val="0"/>
          <w:numId w:val="12"/>
        </w:numPr>
      </w:pPr>
      <w:r>
        <w:t>Verletzungsklage einreichen</w:t>
      </w:r>
    </w:p>
    <w:p w:rsidR="00C20797" w:rsidRDefault="00C20797" w:rsidP="00C20797">
      <w:pPr>
        <w:pStyle w:val="KeinLeerraum"/>
        <w:numPr>
          <w:ilvl w:val="0"/>
          <w:numId w:val="12"/>
        </w:numPr>
      </w:pPr>
      <w:r>
        <w:t>Abmahnung verschicken</w:t>
      </w:r>
    </w:p>
    <w:p w:rsidR="00C20797" w:rsidRDefault="00C20797" w:rsidP="00C20797">
      <w:pPr>
        <w:pStyle w:val="KeinLeerraum"/>
        <w:numPr>
          <w:ilvl w:val="0"/>
          <w:numId w:val="12"/>
        </w:numPr>
      </w:pPr>
      <w:r>
        <w:t>Berechtigungsanfrage verschicken</w:t>
      </w:r>
    </w:p>
    <w:p w:rsidR="00C20797" w:rsidRDefault="00C20797" w:rsidP="00C20797">
      <w:pPr>
        <w:pStyle w:val="KeinLeerraum"/>
      </w:pPr>
    </w:p>
    <w:p w:rsidR="00C20797" w:rsidRDefault="00B02D0C" w:rsidP="00C20797">
      <w:pPr>
        <w:pStyle w:val="KeinLeerraum"/>
      </w:pPr>
      <w:r>
        <w:rPr>
          <w:noProof/>
        </w:rPr>
        <w:drawing>
          <wp:inline distT="0" distB="0" distL="0" distR="0" wp14:anchorId="56B6EB2A" wp14:editId="77819EAE">
            <wp:extent cx="3738392" cy="2663687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635" cy="270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205">
        <w:t>ca</w:t>
      </w:r>
      <w:r w:rsidR="00F975EE">
        <w:t>.</w:t>
      </w:r>
      <w:r w:rsidR="00CD3205">
        <w:t xml:space="preserve"> 9 -12 Monate</w:t>
      </w:r>
    </w:p>
    <w:p w:rsidR="00B02D0C" w:rsidRDefault="00FA5DA5" w:rsidP="00C20797">
      <w:pPr>
        <w:pStyle w:val="KeinLeerraum"/>
        <w:rPr>
          <w:b/>
        </w:rPr>
      </w:pPr>
      <w:r>
        <w:rPr>
          <w:b/>
        </w:rPr>
        <w:lastRenderedPageBreak/>
        <w:t>Anspruchsgrundlagen</w:t>
      </w:r>
    </w:p>
    <w:p w:rsidR="00FA5DA5" w:rsidRDefault="00FA5DA5" w:rsidP="00FA5DA5">
      <w:pPr>
        <w:pStyle w:val="KeinLeerraum"/>
        <w:numPr>
          <w:ilvl w:val="0"/>
          <w:numId w:val="13"/>
        </w:numPr>
      </w:pPr>
      <w:r>
        <w:t>Unterlassung</w:t>
      </w:r>
    </w:p>
    <w:p w:rsidR="00FA5DA5" w:rsidRDefault="00FA5DA5" w:rsidP="00FA5DA5">
      <w:pPr>
        <w:pStyle w:val="KeinLeerraum"/>
        <w:numPr>
          <w:ilvl w:val="0"/>
          <w:numId w:val="13"/>
        </w:numPr>
      </w:pPr>
      <w:r>
        <w:t>Schadensersatz</w:t>
      </w:r>
    </w:p>
    <w:p w:rsidR="00FA5DA5" w:rsidRDefault="00FA5DA5" w:rsidP="00FA5DA5">
      <w:pPr>
        <w:pStyle w:val="KeinLeerraum"/>
        <w:numPr>
          <w:ilvl w:val="0"/>
          <w:numId w:val="13"/>
        </w:numPr>
      </w:pPr>
      <w:r>
        <w:t>Zerstörung</w:t>
      </w:r>
    </w:p>
    <w:p w:rsidR="00FA5DA5" w:rsidRDefault="00FA5DA5" w:rsidP="00FA5DA5">
      <w:pPr>
        <w:pStyle w:val="KeinLeerraum"/>
        <w:numPr>
          <w:ilvl w:val="0"/>
          <w:numId w:val="13"/>
        </w:numPr>
      </w:pPr>
      <w:r>
        <w:t>Auskunftsanspruch</w:t>
      </w:r>
    </w:p>
    <w:p w:rsidR="00FA5DA5" w:rsidRDefault="00FA5DA5" w:rsidP="00FA5DA5">
      <w:pPr>
        <w:pStyle w:val="KeinLeerraum"/>
        <w:numPr>
          <w:ilvl w:val="0"/>
          <w:numId w:val="13"/>
        </w:numPr>
      </w:pPr>
      <w:r>
        <w:t>Grenzbeschlagnahme</w:t>
      </w:r>
    </w:p>
    <w:p w:rsidR="00FA5DA5" w:rsidRDefault="00FA5DA5" w:rsidP="00FA5DA5">
      <w:pPr>
        <w:pStyle w:val="KeinLeerraum"/>
      </w:pPr>
    </w:p>
    <w:p w:rsidR="00FA5DA5" w:rsidRDefault="00D21A84" w:rsidP="00FA5DA5">
      <w:pPr>
        <w:pStyle w:val="KeinLeerraum"/>
        <w:rPr>
          <w:b/>
        </w:rPr>
      </w:pPr>
      <w:r>
        <w:rPr>
          <w:b/>
        </w:rPr>
        <w:t>Formale Verwendungsmöglichkeiten:</w:t>
      </w:r>
    </w:p>
    <w:p w:rsidR="00D21A84" w:rsidRPr="00D21A84" w:rsidRDefault="00D21A84" w:rsidP="00D21A84">
      <w:pPr>
        <w:pStyle w:val="KeinLeerraum"/>
        <w:numPr>
          <w:ilvl w:val="0"/>
          <w:numId w:val="13"/>
        </w:numPr>
      </w:pPr>
      <w:r>
        <w:t xml:space="preserve">Fehlende </w:t>
      </w:r>
      <w:r w:rsidRPr="00953EC4">
        <w:rPr>
          <w:u w:val="single"/>
        </w:rPr>
        <w:t>Zustä</w:t>
      </w:r>
      <w:r w:rsidRPr="00953EC4">
        <w:rPr>
          <w:u w:val="single"/>
        </w:rPr>
        <w:t>ndigkeit</w:t>
      </w:r>
      <w:r w:rsidRPr="00D21A84">
        <w:t xml:space="preserve"> des Gerichts</w:t>
      </w:r>
    </w:p>
    <w:p w:rsidR="00D21A84" w:rsidRPr="00D21A84" w:rsidRDefault="00D21A84" w:rsidP="00D21A84">
      <w:pPr>
        <w:pStyle w:val="KeinLeerraum"/>
        <w:numPr>
          <w:ilvl w:val="0"/>
          <w:numId w:val="13"/>
        </w:numPr>
      </w:pPr>
      <w:r w:rsidRPr="00D21A84">
        <w:t xml:space="preserve">Fehlende </w:t>
      </w:r>
      <w:r w:rsidRPr="00953EC4">
        <w:rPr>
          <w:u w:val="single"/>
        </w:rPr>
        <w:t>Proze</w:t>
      </w:r>
      <w:r w:rsidRPr="00953EC4">
        <w:rPr>
          <w:u w:val="single"/>
        </w:rPr>
        <w:t>sskostensicherheit</w:t>
      </w:r>
      <w:r>
        <w:t xml:space="preserve"> (bei EU-Auslä</w:t>
      </w:r>
      <w:r w:rsidRPr="00D21A84">
        <w:t>ndern)</w:t>
      </w:r>
    </w:p>
    <w:p w:rsidR="00D21A84" w:rsidRPr="00D21A84" w:rsidRDefault="00D21A84" w:rsidP="00D21A84">
      <w:pPr>
        <w:pStyle w:val="KeinLeerraum"/>
        <w:numPr>
          <w:ilvl w:val="0"/>
          <w:numId w:val="13"/>
        </w:numPr>
      </w:pPr>
      <w:r w:rsidRPr="00953EC4">
        <w:rPr>
          <w:u w:val="single"/>
        </w:rPr>
        <w:t>Anhä</w:t>
      </w:r>
      <w:r w:rsidRPr="00953EC4">
        <w:rPr>
          <w:u w:val="single"/>
        </w:rPr>
        <w:t>ngigkeit</w:t>
      </w:r>
      <w:r w:rsidRPr="00D21A84">
        <w:t xml:space="preserve"> ei</w:t>
      </w:r>
      <w:r>
        <w:t>nes anderen Gerichtsverfahrens ü</w:t>
      </w:r>
      <w:r w:rsidRPr="00D21A84">
        <w:t>ber den</w:t>
      </w:r>
      <w:r>
        <w:t xml:space="preserve"> </w:t>
      </w:r>
      <w:r w:rsidRPr="00D21A84">
        <w:t>gleichen Streitgegenstand in einem anderen EU-Staat</w:t>
      </w:r>
    </w:p>
    <w:p w:rsidR="00D21A84" w:rsidRPr="00953EC4" w:rsidRDefault="00D21A84" w:rsidP="00D21A84">
      <w:pPr>
        <w:pStyle w:val="KeinLeerraum"/>
        <w:numPr>
          <w:ilvl w:val="0"/>
          <w:numId w:val="13"/>
        </w:numPr>
      </w:pPr>
      <w:r w:rsidRPr="00953EC4">
        <w:rPr>
          <w:u w:val="single"/>
        </w:rPr>
        <w:t>Verjä</w:t>
      </w:r>
      <w:r w:rsidRPr="00953EC4">
        <w:rPr>
          <w:u w:val="single"/>
        </w:rPr>
        <w:t>hrungsfristen</w:t>
      </w:r>
    </w:p>
    <w:p w:rsidR="00953EC4" w:rsidRDefault="00953EC4" w:rsidP="00953EC4">
      <w:pPr>
        <w:pStyle w:val="KeinLeerraum"/>
        <w:rPr>
          <w:u w:val="single"/>
        </w:rPr>
      </w:pPr>
    </w:p>
    <w:p w:rsidR="00953EC4" w:rsidRPr="005E7AAE" w:rsidRDefault="005E7AAE" w:rsidP="00953EC4">
      <w:pPr>
        <w:pStyle w:val="KeinLeerraum"/>
        <w:rPr>
          <w:b/>
        </w:rPr>
      </w:pPr>
      <w:r w:rsidRPr="005E7AAE">
        <w:rPr>
          <w:b/>
        </w:rPr>
        <w:t>Materielle Verteidigungsmöglichkeiten</w:t>
      </w:r>
    </w:p>
    <w:p w:rsidR="009E72D2" w:rsidRDefault="009E72D2" w:rsidP="009E72D2">
      <w:pPr>
        <w:pStyle w:val="KeinLeerraum"/>
        <w:numPr>
          <w:ilvl w:val="0"/>
          <w:numId w:val="14"/>
        </w:numPr>
      </w:pPr>
      <w:r>
        <w:t>K</w:t>
      </w:r>
      <w:r>
        <w:t>eine patentverletzende Handlung</w:t>
      </w:r>
    </w:p>
    <w:p w:rsidR="009E72D2" w:rsidRDefault="009E72D2" w:rsidP="009E72D2">
      <w:pPr>
        <w:pStyle w:val="KeinLeerraum"/>
        <w:numPr>
          <w:ilvl w:val="0"/>
          <w:numId w:val="14"/>
        </w:numPr>
      </w:pPr>
      <w:r>
        <w:t>Beklagter ist zur Benutzung des patentierten Gegenstandes</w:t>
      </w:r>
      <w:r>
        <w:t xml:space="preserve"> berechtigt, weil:</w:t>
      </w:r>
    </w:p>
    <w:p w:rsidR="009E72D2" w:rsidRDefault="009E72D2" w:rsidP="009E72D2">
      <w:pPr>
        <w:pStyle w:val="KeinLeerraum"/>
        <w:numPr>
          <w:ilvl w:val="1"/>
          <w:numId w:val="14"/>
        </w:numPr>
      </w:pPr>
      <w:r>
        <w:t xml:space="preserve">ausdrückliche </w:t>
      </w:r>
      <w:r>
        <w:t xml:space="preserve">Zustimmung des Patentinhabers </w:t>
      </w:r>
      <w:r>
        <w:t>vor</w:t>
      </w:r>
      <w:r>
        <w:t>liegt (z.B. Lizenzvertrag) oder</w:t>
      </w:r>
    </w:p>
    <w:p w:rsidR="009E72D2" w:rsidRDefault="009E72D2" w:rsidP="009E72D2">
      <w:pPr>
        <w:pStyle w:val="KeinLeerraum"/>
        <w:numPr>
          <w:ilvl w:val="1"/>
          <w:numId w:val="14"/>
        </w:numPr>
      </w:pPr>
      <w:r>
        <w:t>implizite Zustimm</w:t>
      </w:r>
      <w:r>
        <w:t>ung des Patentinhabers vorliegt (Erschöpfung)</w:t>
      </w:r>
    </w:p>
    <w:p w:rsidR="009E72D2" w:rsidRDefault="009E72D2" w:rsidP="009E72D2">
      <w:pPr>
        <w:pStyle w:val="KeinLeerraum"/>
        <w:numPr>
          <w:ilvl w:val="0"/>
          <w:numId w:val="14"/>
        </w:numPr>
      </w:pPr>
      <w:r>
        <w:t>Vorbenutzungsrecht</w:t>
      </w:r>
    </w:p>
    <w:p w:rsidR="009E72D2" w:rsidRDefault="009E72D2" w:rsidP="009E72D2">
      <w:pPr>
        <w:pStyle w:val="KeinLeerraum"/>
        <w:numPr>
          <w:ilvl w:val="0"/>
          <w:numId w:val="14"/>
        </w:numPr>
      </w:pPr>
      <w:r>
        <w:t>privater Gebrauch</w:t>
      </w:r>
      <w:r>
        <w:t xml:space="preserve"> </w:t>
      </w:r>
    </w:p>
    <w:p w:rsidR="005E7AAE" w:rsidRDefault="009E72D2" w:rsidP="009E72D2">
      <w:pPr>
        <w:pStyle w:val="KeinLeerraum"/>
        <w:numPr>
          <w:ilvl w:val="0"/>
          <w:numId w:val="14"/>
        </w:numPr>
      </w:pPr>
      <w:r>
        <w:t>Gebrauch nur zu Versuchszwecken</w:t>
      </w:r>
    </w:p>
    <w:p w:rsidR="005268B9" w:rsidRDefault="005268B9" w:rsidP="005268B9">
      <w:pPr>
        <w:pStyle w:val="KeinLeerraum"/>
      </w:pPr>
    </w:p>
    <w:p w:rsidR="005268B9" w:rsidRPr="005268B9" w:rsidRDefault="005268B9" w:rsidP="005268B9">
      <w:pPr>
        <w:pStyle w:val="KeinLeerraum"/>
        <w:rPr>
          <w:b/>
        </w:rPr>
      </w:pPr>
      <w:r w:rsidRPr="005268B9">
        <w:rPr>
          <w:b/>
        </w:rPr>
        <w:t>Merke:</w:t>
      </w:r>
    </w:p>
    <w:p w:rsidR="005268B9" w:rsidRPr="005E7AAE" w:rsidRDefault="005268B9" w:rsidP="005268B9">
      <w:pPr>
        <w:pStyle w:val="KeinLeerraum"/>
      </w:pPr>
      <w:r>
        <w:t xml:space="preserve">Fehlende </w:t>
      </w:r>
      <w:r w:rsidRPr="005268B9">
        <w:rPr>
          <w:u w:val="single"/>
        </w:rPr>
        <w:t>Re</w:t>
      </w:r>
      <w:r w:rsidRPr="005268B9">
        <w:rPr>
          <w:u w:val="single"/>
        </w:rPr>
        <w:t>chtsbeständigkeit</w:t>
      </w:r>
      <w:r>
        <w:t xml:space="preserve"> eines Patents </w:t>
      </w:r>
      <w:r>
        <w:t>(</w:t>
      </w:r>
      <w:proofErr w:type="gramStart"/>
      <w:r>
        <w:t>z.B.</w:t>
      </w:r>
      <w:proofErr w:type="gramEnd"/>
      <w:r>
        <w:t xml:space="preserve"> weil Gegens</w:t>
      </w:r>
      <w:r>
        <w:t xml:space="preserve">tand des Patents nicht neu sei) ist keine </w:t>
      </w:r>
      <w:r>
        <w:t>zugelass</w:t>
      </w:r>
      <w:r>
        <w:t xml:space="preserve">ene Verteidigungsmöglichkeit im </w:t>
      </w:r>
      <w:r>
        <w:t>Patentverletzun</w:t>
      </w:r>
      <w:r>
        <w:t>gsverfahren vor dem Landgericht.</w:t>
      </w:r>
    </w:p>
    <w:p w:rsidR="005268B9" w:rsidRPr="005E7AAE" w:rsidRDefault="005268B9" w:rsidP="005268B9">
      <w:pPr>
        <w:pStyle w:val="KeinLeerraum"/>
      </w:pPr>
      <w:bookmarkStart w:id="0" w:name="_GoBack"/>
      <w:bookmarkEnd w:id="0"/>
    </w:p>
    <w:sectPr w:rsidR="005268B9" w:rsidRPr="005E7A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35E"/>
    <w:multiLevelType w:val="hybridMultilevel"/>
    <w:tmpl w:val="6F769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3CC"/>
    <w:multiLevelType w:val="hybridMultilevel"/>
    <w:tmpl w:val="F0AEF0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A1D32"/>
    <w:multiLevelType w:val="hybridMultilevel"/>
    <w:tmpl w:val="6AB8A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1866"/>
    <w:multiLevelType w:val="hybridMultilevel"/>
    <w:tmpl w:val="6144E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55434"/>
    <w:multiLevelType w:val="hybridMultilevel"/>
    <w:tmpl w:val="0852A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F3536"/>
    <w:multiLevelType w:val="hybridMultilevel"/>
    <w:tmpl w:val="24AC6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E2B9A"/>
    <w:multiLevelType w:val="hybridMultilevel"/>
    <w:tmpl w:val="FC969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00AD6"/>
    <w:multiLevelType w:val="hybridMultilevel"/>
    <w:tmpl w:val="C34848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038BC"/>
    <w:multiLevelType w:val="hybridMultilevel"/>
    <w:tmpl w:val="8F16E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E2530"/>
    <w:multiLevelType w:val="hybridMultilevel"/>
    <w:tmpl w:val="BC98C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00C03"/>
    <w:multiLevelType w:val="hybridMultilevel"/>
    <w:tmpl w:val="E77AE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3524B"/>
    <w:multiLevelType w:val="hybridMultilevel"/>
    <w:tmpl w:val="BA9EB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716B1"/>
    <w:multiLevelType w:val="hybridMultilevel"/>
    <w:tmpl w:val="5120C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D7292"/>
    <w:multiLevelType w:val="hybridMultilevel"/>
    <w:tmpl w:val="46E88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10"/>
  </w:num>
  <w:num w:numId="10">
    <w:abstractNumId w:val="2"/>
  </w:num>
  <w:num w:numId="11">
    <w:abstractNumId w:val="13"/>
  </w:num>
  <w:num w:numId="12">
    <w:abstractNumId w:val="8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A8"/>
    <w:rsid w:val="00073D81"/>
    <w:rsid w:val="00111810"/>
    <w:rsid w:val="001B15E4"/>
    <w:rsid w:val="00253C95"/>
    <w:rsid w:val="002D65CE"/>
    <w:rsid w:val="0036535A"/>
    <w:rsid w:val="00514F5B"/>
    <w:rsid w:val="005268B9"/>
    <w:rsid w:val="00543B95"/>
    <w:rsid w:val="0056410B"/>
    <w:rsid w:val="005E7AAE"/>
    <w:rsid w:val="006D1D5D"/>
    <w:rsid w:val="00702C11"/>
    <w:rsid w:val="007C5528"/>
    <w:rsid w:val="00943CD9"/>
    <w:rsid w:val="00953EC4"/>
    <w:rsid w:val="009A544B"/>
    <w:rsid w:val="009E72D2"/>
    <w:rsid w:val="00A32F74"/>
    <w:rsid w:val="00AE1DC9"/>
    <w:rsid w:val="00AE1DE4"/>
    <w:rsid w:val="00B02D0C"/>
    <w:rsid w:val="00B41BF3"/>
    <w:rsid w:val="00B70DA8"/>
    <w:rsid w:val="00B85C5E"/>
    <w:rsid w:val="00BF7499"/>
    <w:rsid w:val="00C20797"/>
    <w:rsid w:val="00CD3205"/>
    <w:rsid w:val="00D21A84"/>
    <w:rsid w:val="00D4068A"/>
    <w:rsid w:val="00E12F85"/>
    <w:rsid w:val="00F975EE"/>
    <w:rsid w:val="00FA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5AA2"/>
  <w15:chartTrackingRefBased/>
  <w15:docId w15:val="{343E7EC0-93F8-4CC8-953C-A9180156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70D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29</cp:revision>
  <dcterms:created xsi:type="dcterms:W3CDTF">2019-01-09T10:13:00Z</dcterms:created>
  <dcterms:modified xsi:type="dcterms:W3CDTF">2019-01-09T10:56:00Z</dcterms:modified>
</cp:coreProperties>
</file>