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Cascade AI — ML Model Registry &amp; Deployment Policy</w:t>
      </w:r>
    </w:p>
    <w:p>
      <w:r>
        <w:rPr>
          <w:sz w:val="24"/>
          <w:szCs w:val="24"/>
        </w:rPr>
        <w:t xml:space="preserve">Policy Number: ML-007  |  Version: 1.4  |  Owner: ML Platform Team  |  Effective: January 2026</w:t>
      </w:r>
    </w:p>
    <w:p>
      <w:r>
        <w:t xml:space="preserve"/>
      </w:r>
    </w:p>
    <w:p>
      <w:pPr>
        <w:pStyle w:val="Heading2"/>
      </w:pPr>
      <w:r>
        <w:rPr>
          <w:b/>
          <w:bCs/>
        </w:rPr>
        <w:t xml:space="preserve">1. Purpose</w:t>
      </w:r>
    </w:p>
    <w:p>
      <w:r>
        <w:rPr>
          <w:sz w:val="24"/>
          <w:szCs w:val="24"/>
        </w:rPr>
        <w:t xml:space="preserve">This policy governs the registration, versioning, deployment, and retirement of machine learning models at Cascade AI. All models that run in production or are used to make decisions affecting customers must comply with this policy. Models used exclusively in research or development are exempt but encouraged to follow these guidelines.</w:t>
      </w:r>
    </w:p>
    <w:p>
      <w:r>
        <w:t xml:space="preserve"/>
      </w:r>
    </w:p>
    <w:p>
      <w:pPr>
        <w:pStyle w:val="Heading2"/>
      </w:pPr>
      <w:r>
        <w:rPr>
          <w:b/>
          <w:bCs/>
        </w:rPr>
        <w:t xml:space="preserve">2. Model Registry</w:t>
      </w:r>
    </w:p>
    <w:p>
      <w:r>
        <w:rPr>
          <w:sz w:val="24"/>
          <w:szCs w:val="24"/>
        </w:rPr>
        <w:t xml:space="preserve">Cascade AI uses MLflow as its central model registry, hosted on AWS at registry.internal.cascade.ai. Every model deployed to production must have a corresponding registry entry containing:</w:t>
      </w:r>
    </w:p>
    <w:p>
      <w:pPr>
        <w:pStyle w:val="ListParagraph"/>
        <w:numPr>
          <w:ilvl w:val="0"/>
          <w:numId w:val="2"/>
        </w:numPr>
      </w:pPr>
      <w:r>
        <w:rPr>
          <w:sz w:val="24"/>
          <w:szCs w:val="24"/>
        </w:rPr>
        <w:t xml:space="preserve">Model name, version, and unique registry ID</w:t>
      </w:r>
    </w:p>
    <w:p>
      <w:pPr>
        <w:pStyle w:val="ListParagraph"/>
        <w:numPr>
          <w:ilvl w:val="0"/>
          <w:numId w:val="2"/>
        </w:numPr>
      </w:pPr>
      <w:r>
        <w:rPr>
          <w:sz w:val="24"/>
          <w:szCs w:val="24"/>
        </w:rPr>
        <w:t xml:space="preserve">Training dataset reference (S3 path + dataset version hash)</w:t>
      </w:r>
    </w:p>
    <w:p>
      <w:pPr>
        <w:pStyle w:val="ListParagraph"/>
        <w:numPr>
          <w:ilvl w:val="0"/>
          <w:numId w:val="2"/>
        </w:numPr>
      </w:pPr>
      <w:r>
        <w:rPr>
          <w:sz w:val="24"/>
          <w:szCs w:val="24"/>
        </w:rPr>
        <w:t xml:space="preserve">Hyperparameter configuration and training code commit SHA</w:t>
      </w:r>
    </w:p>
    <w:p>
      <w:pPr>
        <w:pStyle w:val="ListParagraph"/>
        <w:numPr>
          <w:ilvl w:val="0"/>
          <w:numId w:val="2"/>
        </w:numPr>
      </w:pPr>
      <w:r>
        <w:rPr>
          <w:sz w:val="24"/>
          <w:szCs w:val="24"/>
        </w:rPr>
        <w:t xml:space="preserve">Evaluation metrics on held-out test set (accuracy, precision, recall, F1, AUC as applicable)</w:t>
      </w:r>
    </w:p>
    <w:p>
      <w:pPr>
        <w:pStyle w:val="ListParagraph"/>
        <w:numPr>
          <w:ilvl w:val="0"/>
          <w:numId w:val="2"/>
        </w:numPr>
      </w:pPr>
      <w:r>
        <w:rPr>
          <w:sz w:val="24"/>
          <w:szCs w:val="24"/>
        </w:rPr>
        <w:t xml:space="preserve">Bias and fairness evaluation report (required for models affecting user-facing decisions)</w:t>
      </w:r>
    </w:p>
    <w:p>
      <w:pPr>
        <w:pStyle w:val="ListParagraph"/>
        <w:numPr>
          <w:ilvl w:val="0"/>
          <w:numId w:val="2"/>
        </w:numPr>
      </w:pPr>
      <w:r>
        <w:rPr>
          <w:sz w:val="24"/>
          <w:szCs w:val="24"/>
        </w:rPr>
        <w:t xml:space="preserve">Model card describing intended use, limitations, and known failure modes</w:t>
      </w:r>
    </w:p>
    <w:p>
      <w:pPr>
        <w:pStyle w:val="ListParagraph"/>
        <w:numPr>
          <w:ilvl w:val="0"/>
          <w:numId w:val="2"/>
        </w:numPr>
      </w:pPr>
      <w:r>
        <w:rPr>
          <w:sz w:val="24"/>
          <w:szCs w:val="24"/>
        </w:rPr>
        <w:t xml:space="preserve">Approval signatures from ML Lead and responsible Product Manager</w:t>
      </w:r>
    </w:p>
    <w:p>
      <w:r>
        <w:t xml:space="preserve"/>
      </w:r>
    </w:p>
    <w:p>
      <w:pPr>
        <w:pStyle w:val="Heading2"/>
      </w:pPr>
      <w:r>
        <w:rPr>
          <w:b/>
          <w:bCs/>
        </w:rPr>
        <w:t xml:space="preserve">3. Model Stages</w:t>
      </w:r>
    </w:p>
    <w:p>
      <w:r>
        <w:rPr>
          <w:sz w:val="24"/>
          <w:szCs w:val="24"/>
        </w:rPr>
        <w:t xml:space="preserve">Models progress through four lifecycle stages in the registry: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Stage</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Who Can Promote</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Requirements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Development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Active experimentation, not for production use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Any ML engineer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Staging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Candidate for production, being validated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ML engineer + peer review</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Eval metrics documented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Production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Serving live traffic</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ML Lead approval required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Full model card + bias audit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Archived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Retired, no longer serving traffic</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ML Lead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Retirement rationale documented</w:t>
            </w:r>
          </w:p>
        </w:tc>
      </w:tr>
    </w:tbl>
    <w:p>
      <w:r>
        <w:t xml:space="preserve"/>
      </w:r>
    </w:p>
    <w:p>
      <w:pPr>
        <w:pStyle w:val="Heading2"/>
      </w:pPr>
      <w:r>
        <w:rPr>
          <w:b/>
          <w:bCs/>
        </w:rPr>
        <w:t xml:space="preserve">4. Deployment Process</w:t>
      </w:r>
    </w:p>
    <w:p>
      <w:r>
        <w:rPr>
          <w:sz w:val="24"/>
          <w:szCs w:val="24"/>
        </w:rPr>
        <w:t xml:space="preserve">All production model deployments follow a four-step process. Skipping any step requires written approval from the VP of Engineering and is logged in the deviation register.</w:t>
      </w:r>
    </w:p>
    <w:p>
      <w:r>
        <w:t xml:space="preserve"/>
      </w:r>
    </w:p>
    <w:p>
      <w:r>
        <w:rPr>
          <w:sz w:val="24"/>
          <w:szCs w:val="24"/>
        </w:rPr>
        <w:t xml:space="preserve">Step 1 — Shadow Deployment: The new model runs in parallel with the existing production model for a minimum of 48 hours. Predictions are logged but not served to users. The ML team reviews prediction distributions for anomalies.</w:t>
      </w:r>
    </w:p>
    <w:p>
      <w:r>
        <w:t xml:space="preserve"/>
      </w:r>
    </w:p>
    <w:p>
      <w:r>
        <w:rPr>
          <w:sz w:val="24"/>
          <w:szCs w:val="24"/>
        </w:rPr>
        <w:t xml:space="preserve">Step 2 — Canary Release: Traffic is gradually shifted to the new model: 1% for 24 hours, then 5% for 24 hours, then 20% for 48 hours. Automated rollback triggers if error rate increases by more than 0.5% or if latency p99 exceeds 200ms.</w:t>
      </w:r>
    </w:p>
    <w:p>
      <w:r>
        <w:t xml:space="preserve"/>
      </w:r>
    </w:p>
    <w:p>
      <w:r>
        <w:rPr>
          <w:sz w:val="24"/>
          <w:szCs w:val="24"/>
        </w:rPr>
        <w:t xml:space="preserve">Step 3 — Full Rollout: After successful canary, traffic shifts to 100% on the new model. The previous model remains deployed in warm standby for 7 days in case rollback is needed.</w:t>
      </w:r>
    </w:p>
    <w:p>
      <w:r>
        <w:t xml:space="preserve"/>
      </w:r>
    </w:p>
    <w:p>
      <w:r>
        <w:rPr>
          <w:sz w:val="24"/>
          <w:szCs w:val="24"/>
        </w:rPr>
        <w:t xml:space="preserve">Step 4 — Post-Deployment Review: Within 5 business days, the responsible ML engineer submits a post-deployment report covering: actual vs. predicted performance metrics, any anomalies observed, canary rollback events (if any), and a recommendation on whether to retire the previous model.</w:t>
      </w:r>
    </w:p>
    <w:p>
      <w:r>
        <w:t xml:space="preserve"/>
      </w:r>
    </w:p>
    <w:p>
      <w:pPr>
        <w:pStyle w:val="Heading2"/>
      </w:pPr>
      <w:r>
        <w:rPr>
          <w:b/>
          <w:bCs/>
        </w:rPr>
        <w:t xml:space="preserve">5. Model Monitoring</w:t>
      </w:r>
    </w:p>
    <w:p>
      <w:r>
        <w:rPr>
          <w:sz w:val="24"/>
          <w:szCs w:val="24"/>
        </w:rPr>
        <w:t xml:space="preserve">All production models must have monitoring configured before deployment. Required monitors:</w:t>
      </w:r>
    </w:p>
    <w:p>
      <w:pPr>
        <w:pStyle w:val="ListParagraph"/>
        <w:numPr>
          <w:ilvl w:val="0"/>
          <w:numId w:val="2"/>
        </w:numPr>
      </w:pPr>
      <w:r>
        <w:rPr>
          <w:sz w:val="24"/>
          <w:szCs w:val="24"/>
        </w:rPr>
        <w:t xml:space="preserve">Prediction distribution drift (KL divergence, alert if &gt; 0.1 over 24h rolling window)</w:t>
      </w:r>
    </w:p>
    <w:p>
      <w:pPr>
        <w:pStyle w:val="ListParagraph"/>
        <w:numPr>
          <w:ilvl w:val="0"/>
          <w:numId w:val="2"/>
        </w:numPr>
      </w:pPr>
      <w:r>
        <w:rPr>
          <w:sz w:val="24"/>
          <w:szCs w:val="24"/>
        </w:rPr>
        <w:t xml:space="preserve">Feature drift on all input features (Population Stability Index, alert if PSI &gt; 0.2)</w:t>
      </w:r>
    </w:p>
    <w:p>
      <w:pPr>
        <w:pStyle w:val="ListParagraph"/>
        <w:numPr>
          <w:ilvl w:val="0"/>
          <w:numId w:val="2"/>
        </w:numPr>
      </w:pPr>
      <w:r>
        <w:rPr>
          <w:sz w:val="24"/>
          <w:szCs w:val="24"/>
        </w:rPr>
        <w:t xml:space="preserve">Model latency p50, p95, p99 (alert if p99 &gt; 150ms for synchronous models)</w:t>
      </w:r>
    </w:p>
    <w:p>
      <w:pPr>
        <w:pStyle w:val="ListParagraph"/>
        <w:numPr>
          <w:ilvl w:val="0"/>
          <w:numId w:val="2"/>
        </w:numPr>
      </w:pPr>
      <w:r>
        <w:rPr>
          <w:sz w:val="24"/>
          <w:szCs w:val="24"/>
        </w:rPr>
        <w:t xml:space="preserve">Error rate and null prediction rate (alert if either increases by &gt; 0.5% vs. 7-day baseline)</w:t>
      </w:r>
    </w:p>
    <w:p>
      <w:pPr>
        <w:pStyle w:val="ListParagraph"/>
        <w:numPr>
          <w:ilvl w:val="0"/>
          <w:numId w:val="2"/>
        </w:numPr>
      </w:pPr>
      <w:r>
        <w:rPr>
          <w:sz w:val="24"/>
          <w:szCs w:val="24"/>
        </w:rPr>
        <w:t xml:space="preserve">Business outcome metrics: the downstream KPI the model is meant to improve (e.g. conversion rate, churn rate), checked weekly</w:t>
      </w:r>
    </w:p>
    <w:p>
      <w:r>
        <w:t xml:space="preserve"/>
      </w:r>
    </w:p>
    <w:p>
      <w:r>
        <w:rPr>
          <w:sz w:val="24"/>
          <w:szCs w:val="24"/>
        </w:rPr>
        <w:t xml:space="preserve">Monitoring dashboards are in Grafana under the ML Models workspace. PagerDuty alerts route to the on-call ML engineer for P1/P2 alerts and to Slack #ml-alerts for P3/P4.</w:t>
      </w:r>
    </w:p>
    <w:p>
      <w:r>
        <w:t xml:space="preserve"/>
      </w:r>
    </w:p>
    <w:p>
      <w:pPr>
        <w:pStyle w:val="Heading2"/>
      </w:pPr>
      <w:r>
        <w:rPr>
          <w:b/>
          <w:bCs/>
        </w:rPr>
        <w:t xml:space="preserve">6. Retraining Policy</w:t>
      </w:r>
    </w:p>
    <w:p>
      <w:r>
        <w:rPr>
          <w:sz w:val="24"/>
          <w:szCs w:val="24"/>
        </w:rPr>
        <w:t xml:space="preserve">Models must be evaluated for retraining when any of the following conditions are met:</w:t>
      </w:r>
    </w:p>
    <w:p>
      <w:pPr>
        <w:pStyle w:val="ListParagraph"/>
        <w:numPr>
          <w:ilvl w:val="0"/>
          <w:numId w:val="2"/>
        </w:numPr>
      </w:pPr>
      <w:r>
        <w:rPr>
          <w:sz w:val="24"/>
          <w:szCs w:val="24"/>
        </w:rPr>
        <w:t xml:space="preserve">Feature PSI exceeds 0.2 for more than 72 consecutive hours</w:t>
      </w:r>
    </w:p>
    <w:p>
      <w:pPr>
        <w:pStyle w:val="ListParagraph"/>
        <w:numPr>
          <w:ilvl w:val="0"/>
          <w:numId w:val="2"/>
        </w:numPr>
      </w:pPr>
      <w:r>
        <w:rPr>
          <w:sz w:val="24"/>
          <w:szCs w:val="24"/>
        </w:rPr>
        <w:t xml:space="preserve">Model accuracy drops more than 3 percentage points from baseline</w:t>
      </w:r>
    </w:p>
    <w:p>
      <w:pPr>
        <w:pStyle w:val="ListParagraph"/>
        <w:numPr>
          <w:ilvl w:val="0"/>
          <w:numId w:val="2"/>
        </w:numPr>
      </w:pPr>
      <w:r>
        <w:rPr>
          <w:sz w:val="24"/>
          <w:szCs w:val="24"/>
        </w:rPr>
        <w:t xml:space="preserve">More than 90 days have elapsed since last retraining (mandatory refresh)</w:t>
      </w:r>
    </w:p>
    <w:p>
      <w:pPr>
        <w:pStyle w:val="ListParagraph"/>
        <w:numPr>
          <w:ilvl w:val="0"/>
          <w:numId w:val="2"/>
        </w:numPr>
      </w:pPr>
      <w:r>
        <w:rPr>
          <w:sz w:val="24"/>
          <w:szCs w:val="24"/>
        </w:rPr>
        <w:t xml:space="preserve">Significant change in the underlying data distribution due to product changes or external events</w:t>
      </w:r>
    </w:p>
    <w:p>
      <w:r>
        <w:t xml:space="preserve"/>
      </w:r>
    </w:p>
    <w:p>
      <w:r>
        <w:rPr>
          <w:sz w:val="24"/>
          <w:szCs w:val="24"/>
        </w:rPr>
        <w:t xml:space="preserve">Retraining requires a minimum of 6 months of historical data. Models trained on less data require explicit ML Lead approval and a documented rationale. Retrained models follow the same deployment process as new models — there are no shortcuts for retraining.</w:t>
      </w:r>
    </w:p>
    <w:p>
      <w:r>
        <w:t xml:space="preserve"/>
      </w:r>
    </w:p>
    <w:p>
      <w:pPr>
        <w:pStyle w:val="Heading2"/>
      </w:pPr>
      <w:r>
        <w:rPr>
          <w:b/>
          <w:bCs/>
        </w:rPr>
        <w:t xml:space="preserve">7. Model Security and Access Control</w:t>
      </w:r>
    </w:p>
    <w:p>
      <w:r>
        <w:rPr>
          <w:sz w:val="24"/>
          <w:szCs w:val="24"/>
        </w:rPr>
        <w:t xml:space="preserve">Model artifacts (weights, configs, feature pipelines) are stored in S3 with server-side encryption (AES-256, AWS KMS). Access is restricted to the ML Platform team and senior ML engineers. Model serving infrastructure runs in a dedicated EKS namespace with network policies preventing direct internet egress.</w:t>
      </w:r>
    </w:p>
    <w:p>
      <w:r>
        <w:t xml:space="preserve"/>
      </w:r>
    </w:p>
    <w:p>
      <w:r>
        <w:rPr>
          <w:sz w:val="24"/>
          <w:szCs w:val="24"/>
        </w:rPr>
        <w:t xml:space="preserve">Model inference endpoints are internal-only by default. External exposure requires a security review and is logged in the API gateway audit trail. No model weights may be exported or shared externally without VP Engineering and Legal approval.</w:t>
      </w:r>
    </w:p>
    <w:p>
      <w:r>
        <w:t xml:space="preserve"/>
      </w:r>
    </w:p>
    <w:p>
      <w:pPr>
        <w:pStyle w:val="Heading2"/>
      </w:pPr>
      <w:r>
        <w:rPr>
          <w:b/>
          <w:bCs/>
        </w:rPr>
        <w:t xml:space="preserve">8. Compliance and Auditing</w:t>
      </w:r>
    </w:p>
    <w:p>
      <w:r>
        <w:rPr>
          <w:sz w:val="24"/>
          <w:szCs w:val="24"/>
        </w:rPr>
        <w:t xml:space="preserve">This policy is reviewed annually by the ML Platform team and the Legal/Compliance team. All registry entries, deployment events, and monitoring alerts are retained for 3 years. The audit log is immutable and stored in a separate AWS account to prevent tampering.</w:t>
      </w:r>
    </w:p>
    <w:p>
      <w:r>
        <w:t xml:space="preserve"/>
      </w:r>
    </w:p>
    <w:p>
      <w:r>
        <w:rPr>
          <w:sz w:val="24"/>
          <w:szCs w:val="24"/>
        </w:rPr>
        <w:t xml:space="preserve">Questions about this policy: ml-platform@cascade.ai or Slack #ml-platform.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A1A2E"/>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6213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2026-06-03T16:11:34.379Z</dcterms:created>
  <dcterms:modified xsi:type="dcterms:W3CDTF">2026-06-03T16:11:34.379Z</dcterms:modified>
</cp:coreProperties>
</file>

<file path=docProps/custom.xml><?xml version="1.0" encoding="utf-8"?>
<Properties xmlns="http://schemas.openxmlformats.org/officeDocument/2006/custom-properties" xmlns:vt="http://schemas.openxmlformats.org/officeDocument/2006/docPropsVTypes"/>
</file>