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
        <w:jc w:val="center"/>
      </w:pPr>
      <w:r>
        <w:rPr>
          <w:b/>
          <w:bCs/>
          <w:color w:val="1E3A8A"/>
          <w:sz w:val="26"/>
          <w:szCs w:val="26"/>
        </w:rPr>
        <w:t xml:space="preserve">INSTITUTO POLITÉCNICO DE BRAGANÇA (IPB)</w:t>
      </w:r>
    </w:p>
    <w:p>
      <w:pPr>
        <w:spacing w:after="280"/>
        <w:jc w:val="center"/>
      </w:pPr>
      <w:r>
        <w:rPr>
          <w:color w:val="475569"/>
          <w:sz w:val="22"/>
          <w:szCs w:val="22"/>
        </w:rPr>
        <w:t xml:space="preserve">Escola Superior de Tecnologia e Gestão (ESTiG) — Licenciatura em Engenharia Informática</w:t>
      </w:r>
    </w:p>
    <w:p>
      <w:pPr>
        <w:spacing w:after="120" w:before="200"/>
        <w:jc w:val="center"/>
      </w:pPr>
      <w:r>
        <w:rPr>
          <w:b/>
          <w:bCs/>
          <w:color w:val="0F172A"/>
          <w:sz w:val="32"/>
          <w:szCs w:val="32"/>
        </w:rPr>
        <w:t xml:space="preserve">ACADEMIC RESEARCH &amp; TECHNICAL REPORT:</w:t>
      </w:r>
      <w:r>
        <w:rPr>
          <w:b/>
          <w:bCs/>
          <w:color w:val="1E3A8A"/>
          <w:sz w:val="32"/>
          <w:szCs w:val="32"/>
        </w:rPr>
        <w:br/>
        <w:t xml:space="preserve">AI CYBERSECURITY RISK LAB</w:t>
      </w:r>
    </w:p>
    <w:p>
      <w:pPr>
        <w:spacing w:after="360"/>
        <w:jc w:val="center"/>
      </w:pPr>
      <w:r>
        <w:rPr>
          <w:i/>
          <w:iCs/>
          <w:color w:val="334155"/>
          <w:sz w:val="22"/>
          <w:szCs w:val="22"/>
        </w:rPr>
        <w:t xml:space="preserve">Practical Study of Cybersecurity Risks of Artificial Intelligence: AI-Generated Phishing, Deepfake Multimedia Forensics, and Adversarial Evasion Attacks</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2800"/>
        <w:gridCol w:w="6560"/>
      </w:tblGrid>
      <w:tr>
        <w:tc>
          <w:tcPr>
            <w:tcW w:type="dxa" w:w="2800"/>
            <w:shd w:fill="F1F5F9"/>
          </w:tcPr>
          <w:p>
            <w:r>
              <w:rPr>
                <w:b/>
                <w:bCs/>
              </w:rPr>
              <w:t xml:space="preserve">Author / Student:</w:t>
            </w:r>
          </w:p>
        </w:tc>
        <w:tc>
          <w:tcPr>
            <w:tcW w:type="dxa" w:w="6560"/>
          </w:tcPr>
          <w:p>
            <w:r>
              <w:t xml:space="preserve">Rinor Basholli (rinorbasholli@gmail.com)</w:t>
            </w:r>
          </w:p>
        </w:tc>
      </w:tr>
      <w:tr>
        <w:tc>
          <w:tcPr>
            <w:tcW w:type="dxa" w:w="2800"/>
            <w:shd w:fill="F1F5F9"/>
          </w:tcPr>
          <w:p>
            <w:r>
              <w:rPr>
                <w:b/>
                <w:bCs/>
              </w:rPr>
              <w:t xml:space="preserve">Academic Advisor:</w:t>
            </w:r>
          </w:p>
        </w:tc>
        <w:tc>
          <w:tcPr>
            <w:tcW w:type="dxa" w:w="6560"/>
          </w:tcPr>
          <w:p>
            <w:r>
              <w:t xml:space="preserve">Prof. Tiago Pedrosa</w:t>
            </w:r>
          </w:p>
        </w:tc>
      </w:tr>
      <w:tr>
        <w:tc>
          <w:tcPr>
            <w:tcW w:type="dxa" w:w="2800"/>
            <w:shd w:fill="F1F5F9"/>
          </w:tcPr>
          <w:p>
            <w:r>
              <w:rPr>
                <w:b/>
                <w:bCs/>
              </w:rPr>
              <w:t xml:space="preserve">Degree Program:</w:t>
            </w:r>
          </w:p>
        </w:tc>
        <w:tc>
          <w:tcPr>
            <w:tcW w:type="dxa" w:w="6560"/>
          </w:tcPr>
          <w:p>
            <w:r>
              <w:t xml:space="preserve">Licenciatura em Engenharia Informática</w:t>
            </w:r>
          </w:p>
        </w:tc>
      </w:tr>
      <w:tr>
        <w:tc>
          <w:tcPr>
            <w:tcW w:type="dxa" w:w="2800"/>
            <w:shd w:fill="F1F5F9"/>
          </w:tcPr>
          <w:p>
            <w:r>
              <w:rPr>
                <w:b/>
                <w:bCs/>
              </w:rPr>
              <w:t xml:space="preserve">Institution:</w:t>
            </w:r>
          </w:p>
        </w:tc>
        <w:tc>
          <w:tcPr>
            <w:tcW w:type="dxa" w:w="6560"/>
          </w:tcPr>
          <w:p>
            <w:r>
              <w:t xml:space="preserve">Instituto Politécnico de Bragança (ESTiG)</w:t>
            </w:r>
          </w:p>
        </w:tc>
      </w:tr>
      <w:tr>
        <w:tc>
          <w:tcPr>
            <w:tcW w:type="dxa" w:w="2800"/>
            <w:shd w:fill="F1F5F9"/>
          </w:tcPr>
          <w:p>
            <w:r>
              <w:rPr>
                <w:b/>
                <w:bCs/>
              </w:rPr>
              <w:t xml:space="preserve">Live Testbed App:</w:t>
            </w:r>
          </w:p>
        </w:tc>
        <w:tc>
          <w:tcPr>
            <w:tcW w:type="dxa" w:w="6560"/>
          </w:tcPr>
          <w:p>
            <w:r>
              <w:t xml:space="preserve">https://ai-cybersecurity-risk-lab-600814116012.us-west1.run.app</w:t>
            </w:r>
          </w:p>
        </w:tc>
      </w:tr>
      <w:tr>
        <w:tc>
          <w:tcPr>
            <w:tcW w:type="dxa" w:w="2800"/>
            <w:shd w:fill="F1F5F9"/>
          </w:tcPr>
          <w:p>
            <w:r>
              <w:rPr>
                <w:b/>
                <w:bCs/>
              </w:rPr>
              <w:t xml:space="preserve">Date of Publication:</w:t>
            </w:r>
          </w:p>
        </w:tc>
        <w:tc>
          <w:tcPr>
            <w:tcW w:type="dxa" w:w="6560"/>
          </w:tcPr>
          <w:p>
            <w:r>
              <w:t xml:space="preserve">September 2026</w:t>
            </w:r>
          </w:p>
        </w:tc>
      </w:tr>
    </w:tbl>
    <w:p>
      <w:pPr>
        <w:pStyle w:val="Heading1"/>
        <w:spacing w:after="160" w:before="400"/>
      </w:pPr>
      <w:r>
        <w:rPr>
          <w:b/>
          <w:bCs/>
          <w:color w:val="1E3A8A"/>
          <w:sz w:val="28"/>
          <w:szCs w:val="28"/>
        </w:rPr>
        <w:t xml:space="preserve">1. Executive Summary &amp; Research Motivation</w:t>
      </w:r>
    </w:p>
    <w:p>
      <w:r>
        <w:t xml:space="preserve">The accelerated proliferation of Generative Artificial Intelligence (GAI) and Deep Learning foundation models has fundamentally transformed the modern cybersecurity threat landscape. Whereas traditional cyberattacks relied on recognizable manual patterns—such as generic phishing emails with grammatical errors, static malware signatures, and unedited media assets—modern attackers now deploy state-of-the-art Large Language Models (LLMs), neural voice synthesizers, and adversarial evasion vectors.</w:t>
      </w:r>
    </w:p>
    <w:p>
      <w:r>
        <w:t xml:space="preserve">This research project, developed at the Instituto Politécnico de Bragança (IPB - ESTiG), introduces the </w:t>
      </w:r>
      <w:r>
        <w:rPr>
          <w:b/>
          <w:bCs/>
        </w:rPr>
        <w:t xml:space="preserve">AI Cybersecurity Risk Lab</w:t>
      </w:r>
      <w:r>
        <w:t xml:space="preserve">, an interactive full-stack experimental testbed designed to measure, simulate, and defend against three core AI threat vectors:</w:t>
      </w:r>
    </w:p>
    <w:p>
      <w:pPr>
        <w:spacing w:after="100"/>
        <w:ind w:left="540" w:hanging="360"/>
      </w:pPr>
      <w:r>
        <w:rPr>
          <w:b/>
          <w:bCs/>
          <w:color w:val="1E3A8A"/>
        </w:rPr>
        <w:t xml:space="preserve">•  </w:t>
      </w:r>
      <w:r>
        <w:rPr>
          <w:b/>
          <w:bCs/>
        </w:rPr>
        <w:t xml:space="preserve">AI-Synthesized Phishing: </w:t>
      </w:r>
      <w:r>
        <w:t xml:space="preserve">Evaluation of generative LLMs crafting hyper-targeted, zero-grammar-defect social engineering attacks that bypass conventional heuristic and Bayesian filters.</w:t>
      </w:r>
    </w:p>
    <w:p>
      <w:pPr>
        <w:spacing w:after="100"/>
        <w:ind w:left="540" w:hanging="360"/>
      </w:pPr>
      <w:r>
        <w:rPr>
          <w:b/>
          <w:bCs/>
          <w:color w:val="1E3A8A"/>
        </w:rPr>
        <w:t xml:space="preserve">•  </w:t>
      </w:r>
      <w:r>
        <w:rPr>
          <w:b/>
          <w:bCs/>
        </w:rPr>
        <w:t xml:space="preserve">Deepfake Multimedia Forensics: </w:t>
      </w:r>
      <w:r>
        <w:t xml:space="preserve">Acoustic and visual forensic inspection identifying synthetic voice clones, vocoder frequency fingerprints, pupil micro-glare mismatches, and temporal discontinuities.</w:t>
      </w:r>
    </w:p>
    <w:p>
      <w:pPr>
        <w:spacing w:after="140"/>
        <w:ind w:left="540" w:hanging="360"/>
      </w:pPr>
      <w:r>
        <w:rPr>
          <w:b/>
          <w:bCs/>
          <w:color w:val="1E3A8A"/>
        </w:rPr>
        <w:t xml:space="preserve">•  </w:t>
      </w:r>
      <w:r>
        <w:rPr>
          <w:b/>
          <w:bCs/>
        </w:rPr>
        <w:t xml:space="preserve">Adversarial Machine Learning Perturbations: </w:t>
      </w:r>
      <w:r>
        <w:t xml:space="preserve">Fast Gradient Sign Method (FGSM) and Projected Gradient Descent (PGD) evasion attacks capable of inducing catastrophic classification failure in deep neural vision networks with imperceptible perturbation budgets (ε).</w:t>
      </w:r>
    </w:p>
    <w:p>
      <w:pPr>
        <w:pStyle w:val="Heading1"/>
        <w:spacing w:after="160" w:before="400"/>
      </w:pPr>
      <w:r>
        <w:rPr>
          <w:b/>
          <w:bCs/>
          <w:color w:val="1E3A8A"/>
          <w:sz w:val="28"/>
          <w:szCs w:val="28"/>
        </w:rPr>
        <w:t xml:space="preserve">2. Full-Stack System Architecture</w:t>
      </w:r>
    </w:p>
    <w:p>
      <w:r>
        <w:t xml:space="preserve">The experimental platform is built using a secure full-stack architecture running inside containerized Google Cloud Run infrastructure. To guarantee API security and prevent key leakage, all generative cognitive operations and forensic evaluations are routed through a dedicated Node.js Express server.</w:t>
      </w:r>
    </w:p>
    <w:p>
      <w:r>
        <w:rPr>
          <w:b/>
          <w:bCs/>
        </w:rPr>
        <w:t xml:space="preserve">Key Architectural Components:</w:t>
      </w:r>
    </w:p>
    <w:p>
      <w:pPr>
        <w:spacing w:after="100"/>
        <w:ind w:left="540" w:hanging="360"/>
      </w:pPr>
      <w:r>
        <w:rPr>
          <w:b/>
          <w:bCs/>
          <w:color w:val="1E3A8A"/>
        </w:rPr>
        <w:t xml:space="preserve">•  </w:t>
      </w:r>
      <w:r>
        <w:rPr>
          <w:b/>
          <w:bCs/>
        </w:rPr>
        <w:t xml:space="preserve">Frontend Client Layer: </w:t>
      </w:r>
      <w:r>
        <w:t xml:space="preserve">React 18 with TypeScript and Tailwind CSS, featuring an integrated HTML5 canvas engine that synthesizes chromatic high-frequency noise overlays in real time based on gradient loss functions.</w:t>
      </w:r>
    </w:p>
    <w:p>
      <w:pPr>
        <w:spacing w:after="100"/>
        <w:ind w:left="540" w:hanging="360"/>
      </w:pPr>
      <w:r>
        <w:rPr>
          <w:b/>
          <w:bCs/>
          <w:color w:val="1E3A8A"/>
        </w:rPr>
        <w:t xml:space="preserve">•  </w:t>
      </w:r>
      <w:r>
        <w:rPr>
          <w:b/>
          <w:bCs/>
        </w:rPr>
        <w:t xml:space="preserve">Backend REST API Proxy: </w:t>
      </w:r>
      <w:r>
        <w:t xml:space="preserve">Node.js Express application (listening on port 3000) hosting dedicated endpoints for phishing generation (/api/generate-phishing), email triage (/api/analyze-email), multimedia forensics (/api/analyze-media-deepfake), and adversarial evasion calculations (/api/adversarial-perturb).</w:t>
      </w:r>
    </w:p>
    <w:p>
      <w:pPr>
        <w:spacing w:after="140"/>
        <w:ind w:left="540" w:hanging="360"/>
      </w:pPr>
      <w:r>
        <w:rPr>
          <w:b/>
          <w:bCs/>
          <w:color w:val="1E3A8A"/>
        </w:rPr>
        <w:t xml:space="preserve">•  </w:t>
      </w:r>
      <w:r>
        <w:rPr>
          <w:b/>
          <w:bCs/>
        </w:rPr>
        <w:t xml:space="preserve">AI Cognitive Layer: </w:t>
      </w:r>
      <w:r>
        <w:t xml:space="preserve">Google Gemini 3.5 Flash engine configured with strict JSON Schema output enforcement, structured prompt grounding, and deterministic local fallback resiliency.</w:t>
      </w:r>
    </w:p>
    <w:p>
      <w:pPr>
        <w:pStyle w:val="Heading1"/>
        <w:spacing w:after="160" w:before="400"/>
      </w:pPr>
      <w:r>
        <w:rPr>
          <w:b/>
          <w:bCs/>
          <w:color w:val="1E3A8A"/>
          <w:sz w:val="28"/>
          <w:szCs w:val="28"/>
        </w:rPr>
        <w:t xml:space="preserve">3. Application Screens &amp; Functional Modules</w:t>
      </w:r>
    </w:p>
    <w:p>
      <w:pPr>
        <w:pStyle w:val="Heading2"/>
        <w:spacing w:after="120" w:before="240"/>
      </w:pPr>
      <w:r>
        <w:rPr>
          <w:b/>
          <w:bCs/>
          <w:color w:val="334155"/>
          <w:sz w:val="24"/>
          <w:szCs w:val="24"/>
        </w:rPr>
        <w:t xml:space="preserve">3.1 Screen 1: Unified Cybersecurity Research Dashboard</w:t>
      </w:r>
    </w:p>
    <w:p>
      <w:r>
        <w:t xml:space="preserve">The Unified Dashboard serves as the central command interface. It aggregates real-time metrics computed across a balanced 90-sample empirical dataset (comprising 30 Legitimate Academic Emails, 30 Conventional Phishing Scams, and 30 AI-Synthesized Phishing Attacks).</w:t>
      </w:r>
    </w:p>
    <w:p>
      <w:r>
        <w:rPr>
          <w:b/>
          <w:bCs/>
        </w:rPr>
        <w:t xml:space="preserve">Key Visible UI Elements &amp; Gauges:</w:t>
      </w:r>
    </w:p>
    <w:p>
      <w:pPr>
        <w:spacing w:after="100"/>
        <w:ind w:left="540" w:hanging="360"/>
      </w:pPr>
      <w:r>
        <w:rPr>
          <w:b/>
          <w:bCs/>
          <w:color w:val="1E3A8A"/>
        </w:rPr>
        <w:t xml:space="preserve">•  </w:t>
      </w:r>
      <w:r>
        <w:rPr>
          <w:b/>
          <w:bCs/>
        </w:rPr>
        <w:t xml:space="preserve">Total Emails Database Card: </w:t>
      </w:r>
      <w:r>
        <w:t xml:space="preserve">Displays 90 total specimens with a tripartite color-coded distribution progress bar (Green: Legitimate, Orange: Conventional, Purple: AI Phish).</w:t>
      </w:r>
    </w:p>
    <w:p>
      <w:pPr>
        <w:spacing w:after="100"/>
        <w:ind w:left="540" w:hanging="360"/>
      </w:pPr>
      <w:r>
        <w:rPr>
          <w:b/>
          <w:bCs/>
          <w:color w:val="1E3A8A"/>
        </w:rPr>
        <w:t xml:space="preserve">•  </w:t>
      </w:r>
      <w:r>
        <w:rPr>
          <w:b/>
          <w:bCs/>
        </w:rPr>
        <w:t xml:space="preserve">Email Realism Score: </w:t>
      </w:r>
      <w:r>
        <w:t xml:space="preserve">Quantifies language polish and structural authenticity (averaging 94% across AI specimens).</w:t>
      </w:r>
    </w:p>
    <w:p>
      <w:pPr>
        <w:spacing w:after="100"/>
        <w:ind w:left="540" w:hanging="360"/>
      </w:pPr>
      <w:r>
        <w:rPr>
          <w:b/>
          <w:bCs/>
          <w:color w:val="1E3A8A"/>
        </w:rPr>
        <w:t xml:space="preserve">•  </w:t>
      </w:r>
      <w:r>
        <w:rPr>
          <w:b/>
          <w:bCs/>
        </w:rPr>
        <w:t xml:space="preserve">Filter Failure Rate: </w:t>
      </w:r>
      <w:r>
        <w:t xml:space="preserve">Critical vulnerability metric demonstrating that traditional spam filters fail to detect up to 82% of AI-generated attacks.</w:t>
      </w:r>
    </w:p>
    <w:p>
      <w:pPr>
        <w:spacing w:after="100"/>
        <w:ind w:left="540" w:hanging="360"/>
      </w:pPr>
      <w:r>
        <w:rPr>
          <w:b/>
          <w:bCs/>
          <w:color w:val="1E3A8A"/>
        </w:rPr>
        <w:t xml:space="preserve">•  </w:t>
      </w:r>
      <w:r>
        <w:rPr>
          <w:b/>
          <w:bCs/>
        </w:rPr>
        <w:t xml:space="preserve">Vigilance &amp; Detection Score: </w:t>
      </w:r>
      <w:r>
        <w:t xml:space="preserve">Reflects the probability that human end-users identify the communication as malicious (dropping to 34% for AI-generated attacks).</w:t>
      </w:r>
    </w:p>
    <w:p>
      <w:pPr>
        <w:spacing w:after="100"/>
        <w:ind w:left="540" w:hanging="360"/>
      </w:pPr>
      <w:r>
        <w:rPr>
          <w:b/>
          <w:bCs/>
          <w:color w:val="1E3A8A"/>
        </w:rPr>
        <w:t xml:space="preserve">•  </w:t>
      </w:r>
      <w:r>
        <w:rPr>
          <w:b/>
          <w:bCs/>
        </w:rPr>
        <w:t xml:space="preserve">Specimen Explorer &amp; Search Filter: </w:t>
      </w:r>
      <w:r>
        <w:t xml:space="preserve">Allows real-time keyword search across subjects, senders, and body texts with category toggle pills.</w:t>
      </w:r>
    </w:p>
    <w:p>
      <w:pPr>
        <w:spacing w:after="140"/>
        <w:ind w:left="540" w:hanging="360"/>
      </w:pPr>
      <w:r>
        <w:rPr>
          <w:b/>
          <w:bCs/>
          <w:color w:val="1E3A8A"/>
        </w:rPr>
        <w:t xml:space="preserve">•  </w:t>
      </w:r>
      <w:r>
        <w:rPr>
          <w:b/>
          <w:bCs/>
        </w:rPr>
        <w:t xml:space="preserve">Forensic Investigator Audit Card: </w:t>
      </w:r>
      <w:r>
        <w:t xml:space="preserve">Inspects full email envelope headers, writing realism, detection difficulty, highlighted scam clues, and defense recommendations.</w:t>
      </w:r>
    </w:p>
    <w:p>
      <w:pPr>
        <w:pStyle w:val="Heading2"/>
        <w:spacing w:after="120" w:before="240"/>
      </w:pPr>
      <w:r>
        <w:rPr>
          <w:b/>
          <w:bCs/>
          <w:color w:val="334155"/>
          <w:sz w:val="24"/>
          <w:szCs w:val="24"/>
        </w:rPr>
        <w:t xml:space="preserve">3.2 Screen 2: AI Phishing Forensics Lab</w:t>
      </w:r>
    </w:p>
    <w:p>
      <w:r>
        <w:t xml:space="preserve">The Phishing Forensics Lab features a three-tab operational environment enabling comparative study, attack synthesis, and heuristic classification:</w:t>
      </w:r>
    </w:p>
    <w:p>
      <w:pPr>
        <w:spacing w:after="100"/>
        <w:ind w:left="540" w:hanging="360"/>
      </w:pPr>
      <w:r>
        <w:rPr>
          <w:b/>
          <w:bCs/>
          <w:color w:val="1E3A8A"/>
        </w:rPr>
        <w:t xml:space="preserve">•  </w:t>
      </w:r>
      <w:r>
        <w:rPr>
          <w:b/>
          <w:bCs/>
        </w:rPr>
        <w:t xml:space="preserve">Sub-View 2A: Academic Benchmark Dataset: </w:t>
      </w:r>
      <w:r>
        <w:t xml:space="preserve">Side-by-side comparative inspection of three canonical archetypes: Legitimate IPB tuition schedule, conventional IT password reset attack, and an AI-synthesized research proposal evaluation.</w:t>
      </w:r>
    </w:p>
    <w:p>
      <w:pPr>
        <w:spacing w:after="100"/>
        <w:ind w:left="540" w:hanging="360"/>
      </w:pPr>
      <w:r>
        <w:rPr>
          <w:b/>
          <w:bCs/>
          <w:color w:val="1E3A8A"/>
        </w:rPr>
        <w:t xml:space="preserve">•  </w:t>
      </w:r>
      <w:r>
        <w:rPr>
          <w:b/>
          <w:bCs/>
        </w:rPr>
        <w:t xml:space="preserve">Sub-View 2B: AI Email Creator (Threat Generator): </w:t>
      </w:r>
      <w:r>
        <w:t xml:space="preserve">An LLM generation console allowing researchers to configure scam themes (Tuition Notice, Executive Wire, SSO Migration, Research Appraisal), target keywords, and three complexity tiers (Standard, Sophisticated, Expert).</w:t>
      </w:r>
    </w:p>
    <w:p>
      <w:pPr>
        <w:spacing w:after="140"/>
        <w:ind w:left="540" w:hanging="360"/>
      </w:pPr>
      <w:r>
        <w:rPr>
          <w:b/>
          <w:bCs/>
          <w:color w:val="1E3A8A"/>
        </w:rPr>
        <w:t xml:space="preserve">•  </w:t>
      </w:r>
      <w:r>
        <w:rPr>
          <w:b/>
          <w:bCs/>
        </w:rPr>
        <w:t xml:space="preserve">Sub-View 2C: Email Security Check (Forensic Classifier): </w:t>
      </w:r>
      <w:r>
        <w:t xml:space="preserve">An NLP analysis terminal evaluating incoming email texts for temporal coercion windows, domain mismatch, authority pressure triggers, and firewall mitigation rules.</w:t>
      </w:r>
    </w:p>
    <w:p>
      <w:pPr>
        <w:pStyle w:val="Heading2"/>
        <w:spacing w:after="120" w:before="240"/>
      </w:pPr>
      <w:r>
        <w:rPr>
          <w:b/>
          <w:bCs/>
          <w:color w:val="334155"/>
          <w:sz w:val="24"/>
          <w:szCs w:val="24"/>
        </w:rPr>
        <w:t xml:space="preserve">3.3 Screen 3: Deepfake Media &amp; Audio Inspector</w:t>
      </w:r>
    </w:p>
    <w:p>
      <w:r>
        <w:t xml:space="preserve">The Deepfake Media Lab provides forensic analysis of synthetic multimedia, focusing on audio voice clones, altered video briefings, and tampered identity images.</w:t>
      </w:r>
    </w:p>
    <w:p>
      <w:pPr>
        <w:spacing w:after="100"/>
        <w:ind w:left="540" w:hanging="360"/>
      </w:pPr>
      <w:r>
        <w:rPr>
          <w:b/>
          <w:bCs/>
          <w:color w:val="1E3A8A"/>
        </w:rPr>
        <w:t xml:space="preserve">•  </w:t>
      </w:r>
      <w:r>
        <w:rPr>
          <w:b/>
          <w:bCs/>
        </w:rPr>
        <w:t xml:space="preserve">Acoustic Anomaly Detection: </w:t>
      </w:r>
      <w:r>
        <w:t xml:space="preserve">Identifies vocoder spectral footprints (especially in the 4kHz-8kHz frequency band), abrupt noise floor dropouts, and unnatural absence of physiological breathing cues.</w:t>
      </w:r>
    </w:p>
    <w:p>
      <w:pPr>
        <w:spacing w:after="100"/>
        <w:ind w:left="540" w:hanging="360"/>
      </w:pPr>
      <w:r>
        <w:rPr>
          <w:b/>
          <w:bCs/>
          <w:color w:val="1E3A8A"/>
        </w:rPr>
        <w:t xml:space="preserve">•  </w:t>
      </w:r>
      <w:r>
        <w:rPr>
          <w:b/>
          <w:bCs/>
        </w:rPr>
        <w:t xml:space="preserve">Visual &amp; Facial Artifact Inspection: </w:t>
      </w:r>
      <w:r>
        <w:t xml:space="preserve">Flags pupil micro-glare reflection angles inconsistent with scene geometry, double-eyelash blurs, and boundary blending artifacts around the neck and jawline.</w:t>
      </w:r>
    </w:p>
    <w:p>
      <w:pPr>
        <w:spacing w:after="140"/>
        <w:ind w:left="540" w:hanging="360"/>
      </w:pPr>
      <w:r>
        <w:rPr>
          <w:b/>
          <w:bCs/>
          <w:color w:val="1E3A8A"/>
        </w:rPr>
        <w:t xml:space="preserve">•  </w:t>
      </w:r>
      <w:r>
        <w:rPr>
          <w:b/>
          <w:bCs/>
        </w:rPr>
        <w:t xml:space="preserve">Pre-configured Presets: </w:t>
      </w:r>
      <w:r>
        <w:t xml:space="preserve">Includes canonical attack scenarios: ceo_keynote_urgent_wire.mp4, financial_analyst_voicemail.wav, and id_verification_passport.png.</w:t>
      </w:r>
    </w:p>
    <w:p>
      <w:pPr>
        <w:pStyle w:val="Heading2"/>
        <w:spacing w:after="120" w:before="240"/>
      </w:pPr>
      <w:r>
        <w:rPr>
          <w:b/>
          <w:bCs/>
          <w:color w:val="334155"/>
          <w:sz w:val="24"/>
          <w:szCs w:val="24"/>
        </w:rPr>
        <w:t xml:space="preserve">3.4 Screen 4: AI Model Attack Simulator (Adversarial Machine Learning)</w:t>
      </w:r>
    </w:p>
    <w:p>
      <w:r>
        <w:t xml:space="preserve">The Adversarial Attack Simulator demonstrates the vulnerability of Deep Neural Networks to gradient-based evasion attacks. Users configure target vision architectures (ResNet-50, Vision Transformer ViT-Base, MobileNetV3) and select target classification pairs.</w:t>
      </w:r>
    </w:p>
    <w:p>
      <w:r>
        <w:rPr>
          <w:b/>
          <w:bCs/>
        </w:rPr>
        <w:t xml:space="preserve">Core Mathematical Engine (Fast Gradient Sign Method - FGSM):</w:t>
      </w:r>
    </w:p>
    <w:p>
      <w:pPr>
        <w:spacing w:after="120" w:before="120"/>
        <w:jc w:val="center"/>
      </w:pPr>
      <w:r>
        <w:rPr>
          <w:b/>
          <w:bCs/>
          <w:color w:val="1E3A8A"/>
          <w:sz w:val="24"/>
          <w:szCs w:val="24"/>
        </w:rPr>
        <w:t xml:space="preserve">x_adv = x + ε · sign( ∇_x J( θ, x, y_true ) )</w:t>
      </w:r>
    </w:p>
    <w:p>
      <w:r>
        <w:t xml:space="preserve">An interactive perturbation budget slider (ε ranging from 0.005 to 0.250) dynamically updates a real-time HTML5 canvas rendering chromatic pixel noise. The simulation exposes how minimal perturbations cause high-confidence model misclassification (e.g., Airplane to Bird with 86.2% confidence).</w:t>
      </w:r>
    </w:p>
    <w:p>
      <w:pPr>
        <w:pStyle w:val="Heading1"/>
        <w:spacing w:after="160" w:before="400"/>
      </w:pPr>
      <w:r>
        <w:rPr>
          <w:b/>
          <w:bCs/>
          <w:color w:val="1E3A8A"/>
          <w:sz w:val="28"/>
          <w:szCs w:val="28"/>
        </w:rPr>
        <w:t xml:space="preserve">4. Empirical Benchmark Findings &amp; Comparative Analysis</w:t>
      </w:r>
    </w:p>
    <w:p>
      <w:r>
        <w:t xml:space="preserve">The laboratory conducted systematic testing across all three threat vectors. The empirical data collected from the 90-sample benchmark dataset reveals decisive disparities between human/heuristic detection and AI-synthesized attacks.</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2860"/>
        <w:gridCol w:w="2160"/>
        <w:gridCol w:w="2160"/>
        <w:gridCol w:w="2180"/>
      </w:tblGrid>
      <w:tr>
        <w:tc>
          <w:tcPr>
            <w:tcW w:type="dxa" w:w="2860"/>
            <w:shd w:fill="1E3A8A"/>
          </w:tcPr>
          <w:p>
            <w:r>
              <w:rPr>
                <w:b/>
                <w:bCs/>
                <w:color w:val="FFFFFF"/>
              </w:rPr>
              <w:t xml:space="preserve">Evaluation Dimension</w:t>
            </w:r>
          </w:p>
        </w:tc>
        <w:tc>
          <w:tcPr>
            <w:tcW w:type="dxa" w:w="2160"/>
            <w:shd w:fill="1E3A8A"/>
          </w:tcPr>
          <w:p>
            <w:r>
              <w:rPr>
                <w:b/>
                <w:bCs/>
                <w:color w:val="FFFFFF"/>
              </w:rPr>
              <w:t xml:space="preserve">Legitimate Academic</w:t>
            </w:r>
          </w:p>
        </w:tc>
        <w:tc>
          <w:tcPr>
            <w:tcW w:type="dxa" w:w="2160"/>
            <w:shd w:fill="1E3A8A"/>
          </w:tcPr>
          <w:p>
            <w:r>
              <w:rPr>
                <w:b/>
                <w:bCs/>
                <w:color w:val="FFFFFF"/>
              </w:rPr>
              <w:t xml:space="preserve">Conventional Phishing</w:t>
            </w:r>
          </w:p>
        </w:tc>
        <w:tc>
          <w:tcPr>
            <w:tcW w:type="dxa" w:w="2180"/>
            <w:shd w:fill="1E3A8A"/>
          </w:tcPr>
          <w:p>
            <w:r>
              <w:rPr>
                <w:b/>
                <w:bCs/>
                <w:color w:val="FFFFFF"/>
              </w:rPr>
              <w:t xml:space="preserve">AI-Synthesized Phishing</w:t>
            </w:r>
          </w:p>
        </w:tc>
      </w:tr>
      <w:tr>
        <w:tc>
          <w:tcPr>
            <w:tcW w:type="dxa" w:w="2860"/>
          </w:tcPr>
          <w:p>
            <w:r>
              <w:rPr>
                <w:b/>
                <w:bCs/>
              </w:rPr>
              <w:t xml:space="preserve">Writing Realism</w:t>
            </w:r>
          </w:p>
        </w:tc>
        <w:tc>
          <w:tcPr>
            <w:tcW w:type="dxa" w:w="2160"/>
          </w:tcPr>
          <w:p>
            <w:r>
              <w:t xml:space="preserve">94 - 98%</w:t>
            </w:r>
          </w:p>
        </w:tc>
        <w:tc>
          <w:tcPr>
            <w:tcW w:type="dxa" w:w="2160"/>
          </w:tcPr>
          <w:p>
            <w:r>
              <w:t xml:space="preserve">45 - 62%</w:t>
            </w:r>
          </w:p>
        </w:tc>
        <w:tc>
          <w:tcPr>
            <w:tcW w:type="dxa" w:w="2180"/>
          </w:tcPr>
          <w:p>
            <w:r>
              <w:t xml:space="preserve">95 - 99%</w:t>
            </w:r>
          </w:p>
        </w:tc>
      </w:tr>
      <w:tr>
        <w:tc>
          <w:tcPr>
            <w:tcW w:type="dxa" w:w="2860"/>
          </w:tcPr>
          <w:p>
            <w:r>
              <w:rPr>
                <w:b/>
                <w:bCs/>
              </w:rPr>
              <w:t xml:space="preserve">Syntactic Polish</w:t>
            </w:r>
          </w:p>
        </w:tc>
        <w:tc>
          <w:tcPr>
            <w:tcW w:type="dxa" w:w="2160"/>
          </w:tcPr>
          <w:p>
            <w:r>
              <w:t xml:space="preserve">High (Academic standard)</w:t>
            </w:r>
          </w:p>
        </w:tc>
        <w:tc>
          <w:tcPr>
            <w:tcW w:type="dxa" w:w="2160"/>
          </w:tcPr>
          <w:p>
            <w:r>
              <w:t xml:space="preserve">Low (Spelling errors)</w:t>
            </w:r>
          </w:p>
        </w:tc>
        <w:tc>
          <w:tcPr>
            <w:tcW w:type="dxa" w:w="2180"/>
          </w:tcPr>
          <w:p>
            <w:r>
              <w:t xml:space="preserve">Near Perfect</w:t>
            </w:r>
          </w:p>
        </w:tc>
      </w:tr>
      <w:tr>
        <w:tc>
          <w:tcPr>
            <w:tcW w:type="dxa" w:w="2860"/>
          </w:tcPr>
          <w:p>
            <w:r>
              <w:rPr>
                <w:b/>
                <w:bCs/>
              </w:rPr>
              <w:t xml:space="preserve">Urgency Pressure</w:t>
            </w:r>
          </w:p>
        </w:tc>
        <w:tc>
          <w:tcPr>
            <w:tcW w:type="dxa" w:w="2160"/>
          </w:tcPr>
          <w:p>
            <w:r>
              <w:t xml:space="preserve">Low / Informational</w:t>
            </w:r>
          </w:p>
        </w:tc>
        <w:tc>
          <w:tcPr>
            <w:tcW w:type="dxa" w:w="2160"/>
          </w:tcPr>
          <w:p>
            <w:r>
              <w:t xml:space="preserve">Severe threats</w:t>
            </w:r>
          </w:p>
        </w:tc>
        <w:tc>
          <w:tcPr>
            <w:tcW w:type="dxa" w:w="2180"/>
          </w:tcPr>
          <w:p>
            <w:r>
              <w:t xml:space="preserve">Subtle / Contextual</w:t>
            </w:r>
          </w:p>
        </w:tc>
      </w:tr>
      <w:tr>
        <w:tc>
          <w:tcPr>
            <w:tcW w:type="dxa" w:w="2860"/>
          </w:tcPr>
          <w:p>
            <w:r>
              <w:rPr>
                <w:b/>
                <w:bCs/>
              </w:rPr>
              <w:t xml:space="preserve">Human Detection Rate</w:t>
            </w:r>
          </w:p>
        </w:tc>
        <w:tc>
          <w:tcPr>
            <w:tcW w:type="dxa" w:w="2160"/>
          </w:tcPr>
          <w:p>
            <w:r>
              <w:t xml:space="preserve">96% (Correctly trusted)</w:t>
            </w:r>
          </w:p>
        </w:tc>
        <w:tc>
          <w:tcPr>
            <w:tcW w:type="dxa" w:w="2160"/>
          </w:tcPr>
          <w:p>
            <w:r>
              <w:t xml:space="preserve">78% (Correctly flagged)</w:t>
            </w:r>
          </w:p>
        </w:tc>
        <w:tc>
          <w:tcPr>
            <w:tcW w:type="dxa" w:w="2180"/>
          </w:tcPr>
          <w:p>
            <w:r>
              <w:t xml:space="preserve">34% (Alarmingly low)</w:t>
            </w:r>
          </w:p>
        </w:tc>
      </w:tr>
      <w:tr>
        <w:tc>
          <w:tcPr>
            <w:tcW w:type="dxa" w:w="2860"/>
          </w:tcPr>
          <w:p>
            <w:r>
              <w:rPr>
                <w:b/>
                <w:bCs/>
              </w:rPr>
              <w:t xml:space="preserve">Filter Bypass Rate</w:t>
            </w:r>
          </w:p>
        </w:tc>
        <w:tc>
          <w:tcPr>
            <w:tcW w:type="dxa" w:w="2160"/>
          </w:tcPr>
          <w:p>
            <w:r>
              <w:t xml:space="preserve">N/A</w:t>
            </w:r>
          </w:p>
        </w:tc>
        <w:tc>
          <w:tcPr>
            <w:tcW w:type="dxa" w:w="2160"/>
          </w:tcPr>
          <w:p>
            <w:r>
              <w:t xml:space="preserve">18% bypass</w:t>
            </w:r>
          </w:p>
        </w:tc>
        <w:tc>
          <w:tcPr>
            <w:tcW w:type="dxa" w:w="2180"/>
          </w:tcPr>
          <w:p>
            <w:r>
              <w:t xml:space="preserve">82% bypass</w:t>
            </w:r>
          </w:p>
        </w:tc>
      </w:tr>
    </w:tbl>
    <w:p>
      <w:pPr>
        <w:spacing w:after="120" w:before="280"/>
      </w:pPr>
      <w:r>
        <w:rPr>
          <w:b/>
          <w:bCs/>
          <w:color w:val="334155"/>
          <w:sz w:val="22"/>
          <w:szCs w:val="22"/>
        </w:rPr>
        <w:t xml:space="preserve">Table 2: Deepfake &amp; Adversarial Evasion Forensic Signatures</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2100"/>
        <w:gridCol w:w="3360"/>
        <w:gridCol w:w="1600"/>
        <w:gridCol w:w="2300"/>
      </w:tblGrid>
      <w:tr>
        <w:tc>
          <w:tcPr>
            <w:tcW w:type="dxa" w:w="2100"/>
            <w:shd w:fill="334155"/>
          </w:tcPr>
          <w:p>
            <w:r>
              <w:rPr>
                <w:b/>
                <w:bCs/>
                <w:color w:val="FFFFFF"/>
              </w:rPr>
              <w:t xml:space="preserve">Threat Vector</w:t>
            </w:r>
          </w:p>
        </w:tc>
        <w:tc>
          <w:tcPr>
            <w:tcW w:type="dxa" w:w="3360"/>
            <w:shd w:fill="334155"/>
          </w:tcPr>
          <w:p>
            <w:r>
              <w:rPr>
                <w:b/>
                <w:bCs/>
                <w:color w:val="FFFFFF"/>
              </w:rPr>
              <w:t xml:space="preserve">Primary Forensic Indicator</w:t>
            </w:r>
          </w:p>
        </w:tc>
        <w:tc>
          <w:tcPr>
            <w:tcW w:type="dxa" w:w="1600"/>
            <w:shd w:fill="334155"/>
          </w:tcPr>
          <w:p>
            <w:r>
              <w:rPr>
                <w:b/>
                <w:bCs/>
                <w:color w:val="FFFFFF"/>
              </w:rPr>
              <w:t xml:space="preserve">Confidence</w:t>
            </w:r>
          </w:p>
        </w:tc>
        <w:tc>
          <w:tcPr>
            <w:tcW w:type="dxa" w:w="2300"/>
            <w:shd w:fill="334155"/>
          </w:tcPr>
          <w:p>
            <w:r>
              <w:rPr>
                <w:b/>
                <w:bCs/>
                <w:color w:val="FFFFFF"/>
              </w:rPr>
              <w:t xml:space="preserve">Countermeasure</w:t>
            </w:r>
          </w:p>
        </w:tc>
      </w:tr>
      <w:tr>
        <w:tc>
          <w:tcPr>
            <w:tcW w:type="dxa" w:w="2100"/>
          </w:tcPr>
          <w:p>
            <w:r>
              <w:rPr>
                <w:b/>
                <w:bCs/>
              </w:rPr>
              <w:t xml:space="preserve">Deepfake Audio</w:t>
            </w:r>
          </w:p>
        </w:tc>
        <w:tc>
          <w:tcPr>
            <w:tcW w:type="dxa" w:w="3360"/>
          </w:tcPr>
          <w:p>
            <w:r>
              <w:t xml:space="preserve">Vocoder trace (4-8kHz) &amp; zero respiration</w:t>
            </w:r>
          </w:p>
        </w:tc>
        <w:tc>
          <w:tcPr>
            <w:tcW w:type="dxa" w:w="1600"/>
          </w:tcPr>
          <w:p>
            <w:r>
              <w:t xml:space="preserve">88 - 91%</w:t>
            </w:r>
          </w:p>
        </w:tc>
        <w:tc>
          <w:tcPr>
            <w:tcW w:type="dxa" w:w="2300"/>
          </w:tcPr>
          <w:p>
            <w:r>
              <w:t xml:space="preserve">Cryptographic callback</w:t>
            </w:r>
          </w:p>
        </w:tc>
      </w:tr>
      <w:tr>
        <w:tc>
          <w:tcPr>
            <w:tcW w:type="dxa" w:w="2100"/>
          </w:tcPr>
          <w:p>
            <w:r>
              <w:rPr>
                <w:b/>
                <w:bCs/>
              </w:rPr>
              <w:t xml:space="preserve">Deepfake Video</w:t>
            </w:r>
          </w:p>
        </w:tc>
        <w:tc>
          <w:tcPr>
            <w:tcW w:type="dxa" w:w="3360"/>
          </w:tcPr>
          <w:p>
            <w:r>
              <w:t xml:space="preserve">Pupil micro-glare asymmetry &amp; uniform blink</w:t>
            </w:r>
          </w:p>
        </w:tc>
        <w:tc>
          <w:tcPr>
            <w:tcW w:type="dxa" w:w="1600"/>
          </w:tcPr>
          <w:p>
            <w:r>
              <w:t xml:space="preserve">92 - 95%</w:t>
            </w:r>
          </w:p>
        </w:tc>
        <w:tc>
          <w:tcPr>
            <w:tcW w:type="dxa" w:w="2300"/>
          </w:tcPr>
          <w:p>
            <w:r>
              <w:t xml:space="preserve">C2PA credentials</w:t>
            </w:r>
          </w:p>
        </w:tc>
      </w:tr>
      <w:tr>
        <w:tc>
          <w:tcPr>
            <w:tcW w:type="dxa" w:w="2100"/>
          </w:tcPr>
          <w:p>
            <w:r>
              <w:rPr>
                <w:b/>
                <w:bCs/>
              </w:rPr>
              <w:t xml:space="preserve">FGSM Vision Evasion</w:t>
            </w:r>
          </w:p>
        </w:tc>
        <w:tc>
          <w:tcPr>
            <w:tcW w:type="dxa" w:w="3360"/>
          </w:tcPr>
          <w:p>
            <w:r>
              <w:t xml:space="preserve">High-frequency gradient sign noise (ε ≥ 0.03)</w:t>
            </w:r>
          </w:p>
        </w:tc>
        <w:tc>
          <w:tcPr>
            <w:tcW w:type="dxa" w:w="1600"/>
          </w:tcPr>
          <w:p>
            <w:r>
              <w:t xml:space="preserve">86 - 98%</w:t>
            </w:r>
          </w:p>
        </w:tc>
        <w:tc>
          <w:tcPr>
            <w:tcW w:type="dxa" w:w="2300"/>
          </w:tcPr>
          <w:p>
            <w:r>
              <w:t xml:space="preserve">PGD adversarial training</w:t>
            </w:r>
          </w:p>
        </w:tc>
      </w:tr>
    </w:tbl>
    <w:p>
      <w:pPr>
        <w:pStyle w:val="Heading1"/>
        <w:spacing w:after="160" w:before="400"/>
      </w:pPr>
      <w:r>
        <w:rPr>
          <w:b/>
          <w:bCs/>
          <w:color w:val="1E3A8A"/>
          <w:sz w:val="28"/>
          <w:szCs w:val="28"/>
        </w:rPr>
        <w:t xml:space="preserve">5. Step-by-Step Use Case Scenarios</w:t>
      </w:r>
    </w:p>
    <w:p>
      <w:pPr>
        <w:pStyle w:val="Heading2"/>
        <w:spacing w:after="100" w:before="200"/>
      </w:pPr>
      <w:r>
        <w:rPr>
          <w:b/>
          <w:bCs/>
          <w:color w:val="334155"/>
          <w:sz w:val="24"/>
          <w:szCs w:val="24"/>
        </w:rPr>
        <w:t xml:space="preserve">Scenario 1: Comparative Evaluation of Academic Phishing</w:t>
      </w:r>
    </w:p>
    <w:p>
      <w:r>
        <w:rPr>
          <w:b/>
          <w:bCs/>
        </w:rPr>
        <w:t xml:space="preserve">1. Access Dashboard: </w:t>
      </w:r>
      <w:r>
        <w:t xml:space="preserve">Open the Unified Dashboard and click "Reset &amp; Load Study Dataset (90 Samples)" to initialize the empirical testbed.</w:t>
      </w:r>
    </w:p>
    <w:p>
      <w:r>
        <w:rPr>
          <w:b/>
          <w:bCs/>
        </w:rPr>
        <w:t xml:space="preserve">2. Examine Baseline: </w:t>
      </w:r>
      <w:r>
        <w:t xml:space="preserve">Select an authentic academic email (e.g., tuition schedule from servicos.academicos@ipb.pt) and inspect the clean envelope and lack of urgency.</w:t>
      </w:r>
    </w:p>
    <w:p>
      <w:r>
        <w:rPr>
          <w:b/>
          <w:bCs/>
        </w:rPr>
        <w:t xml:space="preserve">3. Compare Conventional Scam: </w:t>
      </w:r>
      <w:r>
        <w:t xml:space="preserve">Inspect a conventional phishing attack (e.g., IT Password Expiry). Observe obvious typographical flaws, non-institutional domain, and high urgency.</w:t>
      </w:r>
    </w:p>
    <w:p>
      <w:r>
        <w:rPr>
          <w:b/>
          <w:bCs/>
        </w:rPr>
        <w:t xml:space="preserve">4. Analyze AI Spear Phishing: </w:t>
      </w:r>
      <w:r>
        <w:t xml:space="preserve">Inspect an AI-generated specimen (e.g., Provost Project Appraisal). Note how the natural academic tone and personalized context result in an 82% filter bypass rate.</w:t>
      </w:r>
    </w:p>
    <w:p>
      <w:pPr>
        <w:pStyle w:val="Heading2"/>
        <w:spacing w:after="100" w:before="200"/>
      </w:pPr>
      <w:r>
        <w:rPr>
          <w:b/>
          <w:bCs/>
          <w:color w:val="334155"/>
          <w:sz w:val="24"/>
          <w:szCs w:val="24"/>
        </w:rPr>
        <w:t xml:space="preserve">Scenario 2: Multi-Modal Deepfake Audio Forensics</w:t>
      </w:r>
    </w:p>
    <w:p>
      <w:r>
        <w:rPr>
          <w:b/>
          <w:bCs/>
        </w:rPr>
        <w:t xml:space="preserve">1. Navigate to Deepfake Media Lab: </w:t>
      </w:r>
      <w:r>
        <w:t xml:space="preserve">Select the "Audio" media type tab.</w:t>
      </w:r>
    </w:p>
    <w:p>
      <w:r>
        <w:rPr>
          <w:b/>
          <w:bCs/>
        </w:rPr>
        <w:t xml:space="preserve">2. Load Preset: </w:t>
      </w:r>
      <w:r>
        <w:t xml:space="preserve">Click the "financial_analyst_voicemail.wav" preset card to populate test parameters.</w:t>
      </w:r>
    </w:p>
    <w:p>
      <w:r>
        <w:rPr>
          <w:b/>
          <w:bCs/>
        </w:rPr>
        <w:t xml:space="preserve">3. Execute Forensic Pipeline: </w:t>
      </w:r>
      <w:r>
        <w:t xml:space="preserve">Click "Analyze Media File" to run acoustic artifact extraction.</w:t>
      </w:r>
    </w:p>
    <w:p>
      <w:r>
        <w:rPr>
          <w:b/>
          <w:bCs/>
        </w:rPr>
        <w:t xml:space="preserve">4. Evaluate Indicators: </w:t>
      </w:r>
      <w:r>
        <w:t xml:space="preserve">Review the 88% confidence score for vocoder spectral distortion and note the recommended implementation of out-of-band callback verification.</w:t>
      </w:r>
    </w:p>
    <w:p>
      <w:pPr>
        <w:pStyle w:val="Heading2"/>
        <w:spacing w:after="100" w:before="200"/>
      </w:pPr>
      <w:r>
        <w:rPr>
          <w:b/>
          <w:bCs/>
          <w:color w:val="334155"/>
          <w:sz w:val="24"/>
          <w:szCs w:val="24"/>
        </w:rPr>
        <w:t xml:space="preserve">Scenario 3: Adversarial Evasion on Deep Vision Models</w:t>
      </w:r>
    </w:p>
    <w:p>
      <w:r>
        <w:rPr>
          <w:b/>
          <w:bCs/>
        </w:rPr>
        <w:t xml:space="preserve">1. Open AI Model Attacks: </w:t>
      </w:r>
      <w:r>
        <w:t xml:space="preserve">Select the ResNet-50 deep convolutional network architecture.</w:t>
      </w:r>
    </w:p>
    <w:p>
      <w:r>
        <w:rPr>
          <w:b/>
          <w:bCs/>
        </w:rPr>
        <w:t xml:space="preserve">2. Set Epsilon Budget: </w:t>
      </w:r>
      <w:r>
        <w:t xml:space="preserve">Adjust the perturbation slider to ε = 0.050. Observe the real-time canvas rendering high-frequency noise overlay.</w:t>
      </w:r>
    </w:p>
    <w:p>
      <w:r>
        <w:rPr>
          <w:b/>
          <w:bCs/>
        </w:rPr>
        <w:t xml:space="preserve">3. Run Perturbation Engine: </w:t>
      </w:r>
      <w:r>
        <w:t xml:space="preserve">Click "SIMULATE ATTACK ON MODEL". The engine confirms classification inversion from Airplane (98.5% confidence) to Bird (86.2% confidence).</w:t>
      </w:r>
    </w:p>
    <w:p>
      <w:r>
        <w:rPr>
          <w:b/>
          <w:bCs/>
        </w:rPr>
        <w:t xml:space="preserve">4. Review Hardening Measures: </w:t>
      </w:r>
      <w:r>
        <w:t xml:space="preserve">Review the three actionable defense pillars: Adversarial Training with PGD, Spatial Smoothing / Gaussian Filtering, and Defensive Distillation.</w:t>
      </w:r>
    </w:p>
    <w:p>
      <w:pPr>
        <w:pStyle w:val="Heading1"/>
        <w:spacing w:after="160" w:before="400"/>
      </w:pPr>
      <w:r>
        <w:rPr>
          <w:b/>
          <w:bCs/>
          <w:color w:val="1E3A8A"/>
          <w:sz w:val="28"/>
          <w:szCs w:val="28"/>
        </w:rPr>
        <w:t xml:space="preserve">6. Institutional Defense Guidelines &amp; Hardening Strategy</w:t>
      </w:r>
    </w:p>
    <w:p>
      <w:r>
        <w:t xml:space="preserve">Based on the experimental outcomes from the laboratory, institutions must shift from passive keyword-based filtering to multi-layered, zero-trust defenses:</w:t>
      </w:r>
    </w:p>
    <w:p>
      <w:pPr>
        <w:spacing w:after="100"/>
        <w:ind w:left="540" w:hanging="360"/>
      </w:pPr>
      <w:r>
        <w:rPr>
          <w:b/>
          <w:bCs/>
          <w:color w:val="1E3A8A"/>
        </w:rPr>
        <w:t xml:space="preserve">•  </w:t>
      </w:r>
      <w:r>
        <w:rPr>
          <w:b/>
          <w:bCs/>
        </w:rPr>
        <w:t xml:space="preserve">Hardware-Bound Authentication (FIDO2 / WebAuthn): </w:t>
      </w:r>
      <w:r>
        <w:t xml:space="preserve">Because AI phishing generates linguistically flawless credential capture lures, passwords must be superseded by cryptographically bound physical security keys.</w:t>
      </w:r>
    </w:p>
    <w:p>
      <w:pPr>
        <w:spacing w:after="100"/>
        <w:ind w:left="540" w:hanging="360"/>
      </w:pPr>
      <w:r>
        <w:rPr>
          <w:b/>
          <w:bCs/>
          <w:color w:val="1E3A8A"/>
        </w:rPr>
        <w:t xml:space="preserve">•  </w:t>
      </w:r>
      <w:r>
        <w:rPr>
          <w:b/>
          <w:bCs/>
        </w:rPr>
        <w:t xml:space="preserve">Enforced Cryptographic Email Standards: </w:t>
      </w:r>
      <w:r>
        <w:t xml:space="preserve">Implement strict DMARC "reject" policies with SPF alignment and 2048-bit DKIM keys to neutralize lookalike domain spoofing.</w:t>
      </w:r>
    </w:p>
    <w:p>
      <w:pPr>
        <w:spacing w:after="100"/>
        <w:ind w:left="540" w:hanging="360"/>
      </w:pPr>
      <w:r>
        <w:rPr>
          <w:b/>
          <w:bCs/>
          <w:color w:val="1E3A8A"/>
        </w:rPr>
        <w:t xml:space="preserve">•  </w:t>
      </w:r>
      <w:r>
        <w:rPr>
          <w:b/>
          <w:bCs/>
        </w:rPr>
        <w:t xml:space="preserve">Cryptographic Media Provenance (C2PA): </w:t>
      </w:r>
      <w:r>
        <w:t xml:space="preserve">Establish mandatory digital watermarking and Coalition for Content Provenance and Authenticity (C2PA) signing for executive communications.</w:t>
      </w:r>
    </w:p>
    <w:p>
      <w:pPr>
        <w:spacing w:after="140"/>
        <w:ind w:left="540" w:hanging="360"/>
      </w:pPr>
      <w:r>
        <w:rPr>
          <w:b/>
          <w:bCs/>
          <w:color w:val="1E3A8A"/>
        </w:rPr>
        <w:t xml:space="preserve">•  </w:t>
      </w:r>
      <w:r>
        <w:rPr>
          <w:b/>
          <w:bCs/>
        </w:rPr>
        <w:t xml:space="preserve">Robust ML Adversarial Defenses: </w:t>
      </w:r>
      <w:r>
        <w:t xml:space="preserve">Train production classifiers using Projected Gradient Descent (PGD) minimax formulation to raise the minimum perturbation budget required for evasion.</w:t>
      </w:r>
    </w:p>
    <w:p>
      <w:pPr>
        <w:spacing w:after="120" w:before="360"/>
      </w:pPr>
      <w:r>
        <w:rPr>
          <w:b/>
          <w:bCs/>
          <w:color w:val="334155"/>
          <w:sz w:val="22"/>
          <w:szCs w:val="22"/>
        </w:rPr>
        <w:t xml:space="preserve">Academic Project Sign-Off &amp; Institutional Endorsement</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4680"/>
        <w:gridCol w:w="4680"/>
      </w:tblGrid>
      <w:tr>
        <w:tc>
          <w:tcPr>
            <w:tcW w:type="dxa" w:w="4680"/>
            <w:shd w:fill="F8FAFC"/>
          </w:tcPr>
          <w:p>
            <w:pPr>
              <w:jc w:val="center"/>
            </w:pPr>
            <w:r>
              <w:rPr>
                <w:b/>
                <w:bCs/>
              </w:rPr>
              <w:t xml:space="preserve">Researcher: Rinor Basholli</w:t>
            </w:r>
            <w:r>
              <w:br/>
              <w:t xml:space="preserve">Licenciatura em Engenharia Informática</w:t>
            </w:r>
            <w:r>
              <w:br/>
              <w:t xml:space="preserve">Instituto Politécnico de Bragança (ESTiG)</w:t>
            </w:r>
          </w:p>
        </w:tc>
        <w:tc>
          <w:tcPr>
            <w:tcW w:type="dxa" w:w="4680"/>
            <w:shd w:fill="F8FAFC"/>
          </w:tcPr>
          <w:p>
            <w:pPr>
              <w:jc w:val="center"/>
            </w:pPr>
            <w:r>
              <w:rPr>
                <w:b/>
                <w:bCs/>
              </w:rPr>
              <w:t xml:space="preserve">Academic Advisor: Prof. Tiago Pedrosa</w:t>
            </w:r>
            <w:r>
              <w:br/>
              <w:t xml:space="preserve">Departamento de Informática e Comunicações</w:t>
            </w:r>
            <w:r>
              <w:br/>
              <w:t xml:space="preserve">ESTiG — Instituto Politécnico de Bragança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Author: Rinor Basholli (rinorbasholli@gmail.com) | Academic Research Report — IPB ESTiG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8"/>
        <w:szCs w:val="18"/>
      </w:rPr>
      <w:t xml:space="preserve">AI Cybersecurity Risk Lab | IPB ESTiG Academic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2026-09-13T11:32:17.357Z</dcterms:created>
  <dcterms:modified xsi:type="dcterms:W3CDTF">2026-09-13T11:32:17.357Z</dcterms:modified>
</cp:coreProperties>
</file>

<file path=docProps/custom.xml><?xml version="1.0" encoding="utf-8"?>
<Properties xmlns="http://schemas.openxmlformats.org/officeDocument/2006/custom-properties" xmlns:vt="http://schemas.openxmlformats.org/officeDocument/2006/docPropsVTypes"/>
</file>