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EDA5" w14:textId="77777777" w:rsidR="00A046BF" w:rsidRPr="000E6E90" w:rsidRDefault="00A046BF" w:rsidP="00A01596">
      <w:pPr>
        <w:tabs>
          <w:tab w:val="left" w:leader="dot" w:pos="8222"/>
          <w:tab w:val="right" w:pos="8364"/>
          <w:tab w:val="right" w:pos="8787"/>
        </w:tabs>
        <w:jc w:val="center"/>
        <w:rPr>
          <w:rFonts w:ascii="Times New Roman" w:hAnsi="Times New Roman"/>
          <w:b/>
          <w:bCs/>
          <w:sz w:val="28"/>
          <w:szCs w:val="28"/>
          <w:lang w:val="en-US"/>
        </w:rPr>
      </w:pPr>
      <w:r w:rsidRPr="000E6E90">
        <w:rPr>
          <w:rFonts w:ascii="Times New Roman" w:hAnsi="Times New Roman"/>
          <w:b/>
          <w:bCs/>
          <w:sz w:val="28"/>
          <w:szCs w:val="28"/>
          <w:lang w:val="en-US"/>
        </w:rPr>
        <w:t xml:space="preserve">Osteoporosis and knowledge of bone decalcification in workers of the National University of Education in Lima-Peru </w:t>
      </w:r>
    </w:p>
    <w:p w14:paraId="235DE390" w14:textId="7A1EBC99" w:rsidR="00283665" w:rsidRDefault="00283665" w:rsidP="00283665">
      <w:pPr>
        <w:spacing w:after="0" w:line="240" w:lineRule="auto"/>
        <w:rPr>
          <w:rFonts w:ascii="Times New Roman" w:hAnsi="Times New Roman"/>
          <w:bCs/>
          <w:sz w:val="24"/>
          <w:szCs w:val="24"/>
          <w:lang w:val="es-PE"/>
        </w:rPr>
      </w:pPr>
      <w:r w:rsidRPr="007A72DD">
        <w:rPr>
          <w:rFonts w:ascii="Times New Roman" w:hAnsi="Times New Roman"/>
          <w:bCs/>
          <w:sz w:val="24"/>
          <w:szCs w:val="24"/>
          <w:lang w:val="es-PE"/>
        </w:rPr>
        <w:t xml:space="preserve">Liliana </w:t>
      </w:r>
      <w:proofErr w:type="spellStart"/>
      <w:r w:rsidRPr="007A72DD">
        <w:rPr>
          <w:rFonts w:ascii="Times New Roman" w:hAnsi="Times New Roman"/>
          <w:bCs/>
          <w:sz w:val="24"/>
          <w:szCs w:val="24"/>
          <w:lang w:val="es-PE"/>
        </w:rPr>
        <w:t>Sumarriva-Bustinza</w:t>
      </w:r>
      <w:r w:rsidRPr="007A72DD">
        <w:rPr>
          <w:rFonts w:ascii="Times New Roman" w:hAnsi="Times New Roman"/>
          <w:bCs/>
          <w:sz w:val="24"/>
          <w:szCs w:val="24"/>
          <w:vertAlign w:val="superscript"/>
          <w:lang w:val="es-PE"/>
        </w:rPr>
        <w:t>a</w:t>
      </w:r>
      <w:proofErr w:type="spellEnd"/>
      <w:r w:rsidRPr="007A72DD">
        <w:rPr>
          <w:rFonts w:ascii="Times New Roman" w:hAnsi="Times New Roman"/>
          <w:bCs/>
          <w:sz w:val="24"/>
          <w:szCs w:val="24"/>
          <w:lang w:val="es-PE"/>
        </w:rPr>
        <w:t>,</w:t>
      </w:r>
      <w:r>
        <w:rPr>
          <w:rFonts w:ascii="Times New Roman" w:hAnsi="Times New Roman"/>
          <w:bCs/>
          <w:sz w:val="24"/>
          <w:szCs w:val="24"/>
          <w:lang w:val="es-PE"/>
        </w:rPr>
        <w:t xml:space="preserve"> </w:t>
      </w:r>
      <w:r w:rsidRPr="005F4CE8">
        <w:rPr>
          <w:rFonts w:ascii="Times New Roman" w:hAnsi="Times New Roman"/>
          <w:sz w:val="24"/>
          <w:szCs w:val="24"/>
        </w:rPr>
        <w:t>Estelita Marlene Pareja-Joaquín</w:t>
      </w:r>
      <w:r w:rsidRPr="00283665">
        <w:rPr>
          <w:rFonts w:ascii="Times New Roman" w:hAnsi="Times New Roman"/>
          <w:bCs/>
          <w:sz w:val="24"/>
          <w:szCs w:val="24"/>
          <w:vertAlign w:val="superscript"/>
          <w:lang w:val="es-PE"/>
        </w:rPr>
        <w:t>c</w:t>
      </w:r>
      <w:r w:rsidRPr="00283665">
        <w:rPr>
          <w:rFonts w:ascii="Times New Roman" w:hAnsi="Times New Roman"/>
          <w:bCs/>
          <w:sz w:val="24"/>
          <w:szCs w:val="24"/>
          <w:lang w:val="es-PE"/>
        </w:rPr>
        <w:t xml:space="preserve"> </w:t>
      </w:r>
      <w:r>
        <w:rPr>
          <w:rFonts w:ascii="Times New Roman" w:hAnsi="Times New Roman"/>
          <w:bCs/>
          <w:sz w:val="24"/>
          <w:szCs w:val="24"/>
          <w:lang w:val="es-PE"/>
        </w:rPr>
        <w:t xml:space="preserve">Zaida </w:t>
      </w:r>
      <w:proofErr w:type="spellStart"/>
      <w:r>
        <w:rPr>
          <w:rFonts w:ascii="Times New Roman" w:hAnsi="Times New Roman"/>
          <w:bCs/>
          <w:sz w:val="24"/>
          <w:szCs w:val="24"/>
          <w:lang w:val="es-PE"/>
        </w:rPr>
        <w:t>Pumacayo</w:t>
      </w:r>
      <w:r w:rsidR="005E3E2D">
        <w:rPr>
          <w:rFonts w:ascii="Times New Roman" w:hAnsi="Times New Roman"/>
          <w:bCs/>
          <w:sz w:val="24"/>
          <w:szCs w:val="24"/>
          <w:lang w:val="es-PE"/>
        </w:rPr>
        <w:t>-Sanchez</w:t>
      </w:r>
      <w:r w:rsidRPr="007A72DD">
        <w:rPr>
          <w:rFonts w:ascii="Times New Roman" w:hAnsi="Times New Roman"/>
          <w:bCs/>
          <w:sz w:val="24"/>
          <w:szCs w:val="24"/>
          <w:vertAlign w:val="superscript"/>
          <w:lang w:val="es-PE"/>
        </w:rPr>
        <w:t>a</w:t>
      </w:r>
      <w:proofErr w:type="spellEnd"/>
      <w:r>
        <w:rPr>
          <w:rFonts w:ascii="Times New Roman" w:hAnsi="Times New Roman"/>
          <w:bCs/>
          <w:sz w:val="24"/>
          <w:szCs w:val="24"/>
          <w:lang w:val="es-PE"/>
        </w:rPr>
        <w:t>, David Choque-</w:t>
      </w:r>
      <w:proofErr w:type="spellStart"/>
      <w:r>
        <w:rPr>
          <w:rFonts w:ascii="Times New Roman" w:hAnsi="Times New Roman"/>
          <w:bCs/>
          <w:sz w:val="24"/>
          <w:szCs w:val="24"/>
          <w:lang w:val="es-PE"/>
        </w:rPr>
        <w:t>Quispe</w:t>
      </w:r>
      <w:r>
        <w:rPr>
          <w:rFonts w:ascii="Times New Roman" w:hAnsi="Times New Roman"/>
          <w:bCs/>
          <w:sz w:val="24"/>
          <w:szCs w:val="24"/>
          <w:vertAlign w:val="superscript"/>
          <w:lang w:val="es-PE"/>
        </w:rPr>
        <w:t>b</w:t>
      </w:r>
      <w:proofErr w:type="spellEnd"/>
      <w:r>
        <w:rPr>
          <w:rFonts w:ascii="Times New Roman" w:hAnsi="Times New Roman"/>
          <w:bCs/>
          <w:sz w:val="24"/>
          <w:szCs w:val="24"/>
          <w:lang w:val="es-PE"/>
        </w:rPr>
        <w:t>,</w:t>
      </w:r>
      <w:r w:rsidRPr="007A72DD">
        <w:rPr>
          <w:rFonts w:ascii="Times New Roman" w:hAnsi="Times New Roman"/>
          <w:bCs/>
          <w:sz w:val="24"/>
          <w:szCs w:val="24"/>
          <w:lang w:val="es-PE"/>
        </w:rPr>
        <w:t xml:space="preserve"> Nadia Chávez</w:t>
      </w:r>
      <w:r>
        <w:rPr>
          <w:rFonts w:ascii="Times New Roman" w:hAnsi="Times New Roman"/>
          <w:bCs/>
          <w:sz w:val="24"/>
          <w:szCs w:val="24"/>
          <w:lang w:val="es-PE"/>
        </w:rPr>
        <w:t>-</w:t>
      </w:r>
      <w:proofErr w:type="spellStart"/>
      <w:r>
        <w:rPr>
          <w:rFonts w:ascii="Times New Roman" w:hAnsi="Times New Roman"/>
          <w:bCs/>
          <w:sz w:val="24"/>
          <w:szCs w:val="24"/>
          <w:lang w:val="es-PE"/>
        </w:rPr>
        <w:t>Sumarriva</w:t>
      </w:r>
      <w:r>
        <w:rPr>
          <w:rFonts w:ascii="Times New Roman" w:hAnsi="Times New Roman"/>
          <w:bCs/>
          <w:sz w:val="24"/>
          <w:szCs w:val="24"/>
          <w:vertAlign w:val="superscript"/>
          <w:lang w:val="es-PE"/>
        </w:rPr>
        <w:t>d</w:t>
      </w:r>
      <w:proofErr w:type="spellEnd"/>
      <w:r w:rsidR="004A2CE1">
        <w:t>,</w:t>
      </w:r>
      <w:r w:rsidR="004A2CE1" w:rsidRPr="004A2CE1">
        <w:rPr>
          <w:rFonts w:ascii="Times New Roman" w:hAnsi="Times New Roman"/>
          <w:bCs/>
          <w:sz w:val="24"/>
          <w:szCs w:val="24"/>
          <w:lang w:val="es-PE"/>
        </w:rPr>
        <w:t xml:space="preserve"> </w:t>
      </w:r>
      <w:proofErr w:type="spellStart"/>
      <w:r w:rsidR="004A2CE1">
        <w:rPr>
          <w:rFonts w:ascii="Times New Roman" w:hAnsi="Times New Roman"/>
          <w:bCs/>
          <w:sz w:val="24"/>
          <w:szCs w:val="24"/>
          <w:lang w:val="es-PE"/>
        </w:rPr>
        <w:t>Russbelt</w:t>
      </w:r>
      <w:proofErr w:type="spellEnd"/>
      <w:r w:rsidR="004A2CE1">
        <w:rPr>
          <w:rFonts w:ascii="Times New Roman" w:hAnsi="Times New Roman"/>
          <w:bCs/>
          <w:sz w:val="24"/>
          <w:szCs w:val="24"/>
          <w:lang w:val="es-PE"/>
        </w:rPr>
        <w:t xml:space="preserve"> </w:t>
      </w:r>
      <w:proofErr w:type="spellStart"/>
      <w:r w:rsidR="004A2CE1">
        <w:rPr>
          <w:rFonts w:ascii="Times New Roman" w:hAnsi="Times New Roman"/>
          <w:bCs/>
          <w:sz w:val="24"/>
          <w:szCs w:val="24"/>
          <w:lang w:val="es-PE"/>
        </w:rPr>
        <w:t>Yaulilahua</w:t>
      </w:r>
      <w:r w:rsidR="004D142D">
        <w:rPr>
          <w:rFonts w:ascii="Times New Roman" w:hAnsi="Times New Roman"/>
          <w:bCs/>
          <w:sz w:val="24"/>
          <w:szCs w:val="24"/>
          <w:lang w:val="es-PE"/>
        </w:rPr>
        <w:t>-</w:t>
      </w:r>
      <w:r w:rsidR="004A2CE1">
        <w:rPr>
          <w:rFonts w:ascii="Times New Roman" w:hAnsi="Times New Roman"/>
          <w:bCs/>
          <w:sz w:val="24"/>
          <w:szCs w:val="24"/>
          <w:lang w:val="es-PE"/>
        </w:rPr>
        <w:t>Huacho</w:t>
      </w:r>
      <w:r w:rsidR="004A2CE1">
        <w:rPr>
          <w:rFonts w:ascii="Times New Roman" w:hAnsi="Times New Roman"/>
          <w:bCs/>
          <w:sz w:val="24"/>
          <w:szCs w:val="24"/>
          <w:vertAlign w:val="superscript"/>
          <w:lang w:val="es-PE"/>
        </w:rPr>
        <w:t>e</w:t>
      </w:r>
      <w:proofErr w:type="spellEnd"/>
      <w:r w:rsidR="00F9179D" w:rsidRPr="007A72DD">
        <w:rPr>
          <w:rFonts w:ascii="Times New Roman" w:hAnsi="Times New Roman"/>
          <w:bCs/>
          <w:sz w:val="24"/>
          <w:szCs w:val="24"/>
          <w:vertAlign w:val="superscript"/>
          <w:lang w:val="es-PE"/>
        </w:rPr>
        <w:t>*</w:t>
      </w:r>
    </w:p>
    <w:p w14:paraId="7406DF4B" w14:textId="77777777" w:rsidR="00EF5258" w:rsidRPr="007A72DD" w:rsidRDefault="00EF5258" w:rsidP="00283665">
      <w:pPr>
        <w:spacing w:after="0" w:line="240" w:lineRule="auto"/>
        <w:rPr>
          <w:rFonts w:ascii="Times New Roman" w:hAnsi="Times New Roman"/>
          <w:bCs/>
          <w:sz w:val="24"/>
          <w:szCs w:val="24"/>
          <w:vertAlign w:val="superscript"/>
          <w:lang w:val="es-PE"/>
        </w:rPr>
      </w:pPr>
    </w:p>
    <w:p w14:paraId="63EFC2AF" w14:textId="552CFD11" w:rsidR="00283665" w:rsidRDefault="00283665" w:rsidP="00283665">
      <w:pPr>
        <w:tabs>
          <w:tab w:val="left" w:pos="7875"/>
        </w:tabs>
        <w:spacing w:after="0" w:line="240" w:lineRule="auto"/>
        <w:rPr>
          <w:rFonts w:ascii="Times New Roman" w:hAnsi="Times New Roman"/>
          <w:i/>
          <w:sz w:val="24"/>
          <w:szCs w:val="24"/>
          <w:shd w:val="clear" w:color="auto" w:fill="FFFFFF"/>
          <w:lang w:val="es-PE"/>
        </w:rPr>
      </w:pPr>
      <w:r w:rsidRPr="009D6C0C">
        <w:rPr>
          <w:rFonts w:ascii="Times New Roman" w:hAnsi="Times New Roman"/>
          <w:bCs/>
          <w:i/>
          <w:sz w:val="24"/>
          <w:szCs w:val="24"/>
          <w:vertAlign w:val="superscript"/>
          <w:lang w:val="es-PE"/>
        </w:rPr>
        <w:t>a</w:t>
      </w:r>
      <w:r w:rsidRPr="009D6C0C">
        <w:rPr>
          <w:rFonts w:ascii="Times New Roman" w:hAnsi="Times New Roman"/>
          <w:i/>
          <w:sz w:val="24"/>
          <w:szCs w:val="24"/>
          <w:shd w:val="clear" w:color="auto" w:fill="FFFFFF"/>
          <w:lang w:val="es-PE"/>
        </w:rPr>
        <w:t xml:space="preserve"> </w:t>
      </w:r>
      <w:r>
        <w:rPr>
          <w:rFonts w:ascii="Times New Roman" w:hAnsi="Times New Roman"/>
          <w:i/>
          <w:sz w:val="24"/>
          <w:szCs w:val="24"/>
          <w:shd w:val="clear" w:color="auto" w:fill="FFFFFF"/>
          <w:lang w:val="es-PE"/>
        </w:rPr>
        <w:t xml:space="preserve">Universidad </w:t>
      </w:r>
      <w:r w:rsidR="002318E7">
        <w:rPr>
          <w:rFonts w:ascii="Times New Roman" w:hAnsi="Times New Roman"/>
          <w:i/>
          <w:sz w:val="24"/>
          <w:szCs w:val="24"/>
          <w:shd w:val="clear" w:color="auto" w:fill="FFFFFF"/>
          <w:lang w:val="es-PE"/>
        </w:rPr>
        <w:t>N</w:t>
      </w:r>
      <w:r>
        <w:rPr>
          <w:rFonts w:ascii="Times New Roman" w:hAnsi="Times New Roman"/>
          <w:i/>
          <w:sz w:val="24"/>
          <w:szCs w:val="24"/>
          <w:shd w:val="clear" w:color="auto" w:fill="FFFFFF"/>
          <w:lang w:val="es-PE"/>
        </w:rPr>
        <w:t>acional de Educación</w:t>
      </w:r>
      <w:r w:rsidRPr="009D6C0C">
        <w:rPr>
          <w:rFonts w:ascii="Times New Roman" w:hAnsi="Times New Roman"/>
          <w:i/>
          <w:sz w:val="24"/>
          <w:szCs w:val="24"/>
          <w:shd w:val="clear" w:color="auto" w:fill="FFFFFF"/>
          <w:lang w:val="es-PE"/>
        </w:rPr>
        <w:t xml:space="preserve"> Enrique Guzmán y Valle</w:t>
      </w:r>
      <w:r w:rsidR="00E93D92">
        <w:rPr>
          <w:rFonts w:ascii="Times New Roman" w:hAnsi="Times New Roman"/>
          <w:i/>
          <w:sz w:val="24"/>
          <w:szCs w:val="24"/>
          <w:shd w:val="clear" w:color="auto" w:fill="FFFFFF"/>
          <w:lang w:val="es-PE"/>
        </w:rPr>
        <w:t>,</w:t>
      </w:r>
      <w:r w:rsidRPr="009D6C0C">
        <w:rPr>
          <w:rFonts w:ascii="Times New Roman" w:hAnsi="Times New Roman"/>
          <w:i/>
          <w:sz w:val="24"/>
          <w:szCs w:val="24"/>
          <w:shd w:val="clear" w:color="auto" w:fill="FFFFFF"/>
          <w:lang w:val="es-PE"/>
        </w:rPr>
        <w:t xml:space="preserve"> Lima, Perú.</w:t>
      </w:r>
      <w:r>
        <w:rPr>
          <w:rFonts w:ascii="Times New Roman" w:hAnsi="Times New Roman"/>
          <w:i/>
          <w:sz w:val="24"/>
          <w:szCs w:val="24"/>
          <w:shd w:val="clear" w:color="auto" w:fill="FFFFFF"/>
          <w:lang w:val="es-PE"/>
        </w:rPr>
        <w:t xml:space="preserve"> </w:t>
      </w:r>
    </w:p>
    <w:p w14:paraId="000C9655" w14:textId="6DF7398B" w:rsidR="00283665" w:rsidRPr="004F2502" w:rsidRDefault="00283665" w:rsidP="00283665">
      <w:pPr>
        <w:tabs>
          <w:tab w:val="left" w:pos="7875"/>
        </w:tabs>
        <w:spacing w:after="0" w:line="240" w:lineRule="auto"/>
        <w:rPr>
          <w:rFonts w:ascii="Times New Roman" w:hAnsi="Times New Roman"/>
          <w:i/>
          <w:sz w:val="24"/>
          <w:szCs w:val="24"/>
          <w:shd w:val="clear" w:color="auto" w:fill="FFFFFF"/>
        </w:rPr>
      </w:pPr>
      <w:r>
        <w:rPr>
          <w:rFonts w:ascii="Times New Roman" w:hAnsi="Times New Roman"/>
          <w:bCs/>
          <w:sz w:val="24"/>
          <w:szCs w:val="24"/>
          <w:vertAlign w:val="superscript"/>
          <w:lang w:val="es-PE"/>
        </w:rPr>
        <w:t>b</w:t>
      </w:r>
      <w:r w:rsidRPr="004F2502">
        <w:rPr>
          <w:rFonts w:ascii="Times New Roman" w:hAnsi="Times New Roman"/>
          <w:i/>
          <w:sz w:val="24"/>
          <w:szCs w:val="24"/>
          <w:shd w:val="clear" w:color="auto" w:fill="FFFFFF"/>
        </w:rPr>
        <w:t xml:space="preserve"> </w:t>
      </w:r>
      <w:r>
        <w:rPr>
          <w:rFonts w:ascii="Times New Roman" w:hAnsi="Times New Roman"/>
          <w:i/>
          <w:sz w:val="24"/>
          <w:szCs w:val="24"/>
          <w:shd w:val="clear" w:color="auto" w:fill="FFFFFF"/>
          <w:lang w:val="es-PE"/>
        </w:rPr>
        <w:t xml:space="preserve">Universidad </w:t>
      </w:r>
      <w:r w:rsidR="002318E7">
        <w:rPr>
          <w:rFonts w:ascii="Times New Roman" w:hAnsi="Times New Roman"/>
          <w:i/>
          <w:sz w:val="24"/>
          <w:szCs w:val="24"/>
          <w:shd w:val="clear" w:color="auto" w:fill="FFFFFF"/>
          <w:lang w:val="es-PE"/>
        </w:rPr>
        <w:t>N</w:t>
      </w:r>
      <w:r>
        <w:rPr>
          <w:rFonts w:ascii="Times New Roman" w:hAnsi="Times New Roman"/>
          <w:i/>
          <w:sz w:val="24"/>
          <w:szCs w:val="24"/>
          <w:shd w:val="clear" w:color="auto" w:fill="FFFFFF"/>
          <w:lang w:val="es-PE"/>
        </w:rPr>
        <w:t xml:space="preserve">acional </w:t>
      </w:r>
      <w:r w:rsidRPr="004F2502">
        <w:rPr>
          <w:rFonts w:ascii="Times New Roman" w:hAnsi="Times New Roman"/>
          <w:i/>
          <w:sz w:val="24"/>
          <w:szCs w:val="24"/>
          <w:shd w:val="clear" w:color="auto" w:fill="FFFFFF"/>
        </w:rPr>
        <w:t>J</w:t>
      </w:r>
      <w:r>
        <w:rPr>
          <w:rFonts w:ascii="Times New Roman" w:hAnsi="Times New Roman"/>
          <w:i/>
          <w:sz w:val="24"/>
          <w:szCs w:val="24"/>
          <w:shd w:val="clear" w:color="auto" w:fill="FFFFFF"/>
        </w:rPr>
        <w:t>osé M</w:t>
      </w:r>
      <w:r w:rsidRPr="004F2502">
        <w:rPr>
          <w:rFonts w:ascii="Times New Roman" w:hAnsi="Times New Roman"/>
          <w:i/>
          <w:sz w:val="24"/>
          <w:szCs w:val="24"/>
          <w:shd w:val="clear" w:color="auto" w:fill="FFFFFF"/>
        </w:rPr>
        <w:t>aría A</w:t>
      </w:r>
      <w:r>
        <w:rPr>
          <w:rFonts w:ascii="Times New Roman" w:hAnsi="Times New Roman"/>
          <w:i/>
          <w:sz w:val="24"/>
          <w:szCs w:val="24"/>
          <w:shd w:val="clear" w:color="auto" w:fill="FFFFFF"/>
        </w:rPr>
        <w:t>rguedas</w:t>
      </w:r>
      <w:r w:rsidR="002318E7">
        <w:rPr>
          <w:rFonts w:ascii="Times New Roman" w:hAnsi="Times New Roman"/>
          <w:i/>
          <w:sz w:val="24"/>
          <w:szCs w:val="24"/>
          <w:shd w:val="clear" w:color="auto" w:fill="FFFFFF"/>
        </w:rPr>
        <w:t xml:space="preserve">, </w:t>
      </w:r>
      <w:r w:rsidR="002318E7" w:rsidRPr="002318E7">
        <w:rPr>
          <w:rFonts w:ascii="Times New Roman" w:hAnsi="Times New Roman"/>
          <w:i/>
          <w:sz w:val="24"/>
          <w:szCs w:val="24"/>
          <w:shd w:val="clear" w:color="auto" w:fill="FFFFFF"/>
        </w:rPr>
        <w:t>Andahuaylas</w:t>
      </w:r>
      <w:r w:rsidR="002318E7">
        <w:rPr>
          <w:rFonts w:ascii="Times New Roman" w:hAnsi="Times New Roman"/>
          <w:i/>
          <w:sz w:val="24"/>
          <w:szCs w:val="24"/>
          <w:shd w:val="clear" w:color="auto" w:fill="FFFFFF"/>
        </w:rPr>
        <w:t>,</w:t>
      </w:r>
      <w:r>
        <w:rPr>
          <w:rFonts w:ascii="Times New Roman" w:hAnsi="Times New Roman"/>
          <w:i/>
          <w:sz w:val="24"/>
          <w:szCs w:val="24"/>
          <w:shd w:val="clear" w:color="auto" w:fill="FFFFFF"/>
        </w:rPr>
        <w:t xml:space="preserve"> </w:t>
      </w:r>
      <w:r w:rsidRPr="009D6C0C">
        <w:rPr>
          <w:rFonts w:ascii="Times New Roman" w:hAnsi="Times New Roman"/>
          <w:i/>
          <w:sz w:val="24"/>
          <w:szCs w:val="24"/>
          <w:shd w:val="clear" w:color="auto" w:fill="FFFFFF"/>
          <w:lang w:val="es-PE"/>
        </w:rPr>
        <w:t>Perú.</w:t>
      </w:r>
      <w:r w:rsidRPr="004F2502">
        <w:rPr>
          <w:rFonts w:ascii="Times New Roman" w:hAnsi="Times New Roman"/>
          <w:i/>
          <w:sz w:val="24"/>
          <w:szCs w:val="24"/>
          <w:shd w:val="clear" w:color="auto" w:fill="FFFFFF"/>
        </w:rPr>
        <w:tab/>
      </w:r>
    </w:p>
    <w:p w14:paraId="7DEFFDC9" w14:textId="3F7E7603" w:rsidR="00283665" w:rsidRDefault="00283665" w:rsidP="00283665">
      <w:pPr>
        <w:spacing w:after="0" w:line="240" w:lineRule="auto"/>
        <w:rPr>
          <w:rFonts w:ascii="Times New Roman" w:hAnsi="Times New Roman"/>
          <w:i/>
          <w:sz w:val="24"/>
          <w:szCs w:val="24"/>
          <w:shd w:val="clear" w:color="auto" w:fill="FFFFFF"/>
          <w:lang w:val="es-PE"/>
        </w:rPr>
      </w:pPr>
      <w:r>
        <w:rPr>
          <w:rFonts w:ascii="Times New Roman" w:hAnsi="Times New Roman"/>
          <w:bCs/>
          <w:i/>
          <w:sz w:val="24"/>
          <w:szCs w:val="24"/>
          <w:vertAlign w:val="superscript"/>
          <w:lang w:val="es-PE"/>
        </w:rPr>
        <w:t>c</w:t>
      </w:r>
      <w:r w:rsidRPr="009D6C0C">
        <w:rPr>
          <w:rFonts w:ascii="Times New Roman" w:hAnsi="Times New Roman"/>
          <w:i/>
          <w:sz w:val="24"/>
          <w:szCs w:val="24"/>
          <w:shd w:val="clear" w:color="auto" w:fill="FFFFFF"/>
          <w:lang w:val="es-PE"/>
        </w:rPr>
        <w:t xml:space="preserve"> </w:t>
      </w:r>
      <w:r>
        <w:rPr>
          <w:rFonts w:ascii="Times New Roman" w:hAnsi="Times New Roman"/>
          <w:i/>
          <w:sz w:val="24"/>
          <w:szCs w:val="24"/>
          <w:shd w:val="clear" w:color="auto" w:fill="FFFFFF"/>
          <w:lang w:val="es-PE"/>
        </w:rPr>
        <w:t xml:space="preserve">Universidad Femenina </w:t>
      </w:r>
      <w:r w:rsidR="002318E7">
        <w:rPr>
          <w:rFonts w:ascii="Times New Roman" w:hAnsi="Times New Roman"/>
          <w:i/>
          <w:sz w:val="24"/>
          <w:szCs w:val="24"/>
          <w:shd w:val="clear" w:color="auto" w:fill="FFFFFF"/>
          <w:lang w:val="es-PE"/>
        </w:rPr>
        <w:t>d</w:t>
      </w:r>
      <w:r w:rsidR="0071564C">
        <w:rPr>
          <w:rFonts w:ascii="Times New Roman" w:hAnsi="Times New Roman"/>
          <w:i/>
          <w:sz w:val="24"/>
          <w:szCs w:val="24"/>
          <w:shd w:val="clear" w:color="auto" w:fill="FFFFFF"/>
          <w:lang w:val="es-PE"/>
        </w:rPr>
        <w:t xml:space="preserve">el </w:t>
      </w:r>
      <w:r>
        <w:rPr>
          <w:rFonts w:ascii="Times New Roman" w:hAnsi="Times New Roman"/>
          <w:i/>
          <w:sz w:val="24"/>
          <w:szCs w:val="24"/>
          <w:shd w:val="clear" w:color="auto" w:fill="FFFFFF"/>
          <w:lang w:val="es-PE"/>
        </w:rPr>
        <w:t>Sagrado Corazón,</w:t>
      </w:r>
      <w:r w:rsidR="00962A18">
        <w:rPr>
          <w:rFonts w:ascii="Times New Roman" w:hAnsi="Times New Roman"/>
          <w:i/>
          <w:sz w:val="24"/>
          <w:szCs w:val="24"/>
          <w:shd w:val="clear" w:color="auto" w:fill="FFFFFF"/>
          <w:lang w:val="es-PE"/>
        </w:rPr>
        <w:t xml:space="preserve"> Lima,</w:t>
      </w:r>
      <w:r w:rsidRPr="009D6C0C">
        <w:rPr>
          <w:rFonts w:ascii="Times New Roman" w:hAnsi="Times New Roman"/>
          <w:i/>
          <w:sz w:val="24"/>
          <w:szCs w:val="24"/>
          <w:shd w:val="clear" w:color="auto" w:fill="FFFFFF"/>
          <w:lang w:val="es-PE"/>
        </w:rPr>
        <w:t xml:space="preserve"> Perú</w:t>
      </w:r>
    </w:p>
    <w:p w14:paraId="7AE81016" w14:textId="64404980" w:rsidR="00283665" w:rsidRDefault="00283665" w:rsidP="00283665">
      <w:pPr>
        <w:spacing w:after="0" w:line="240" w:lineRule="auto"/>
        <w:rPr>
          <w:rFonts w:ascii="Times New Roman" w:hAnsi="Times New Roman"/>
          <w:i/>
          <w:sz w:val="24"/>
          <w:szCs w:val="24"/>
          <w:shd w:val="clear" w:color="auto" w:fill="FFFFFF"/>
          <w:lang w:val="es-PE"/>
        </w:rPr>
      </w:pPr>
      <w:r w:rsidRPr="00283665">
        <w:rPr>
          <w:rFonts w:ascii="Times New Roman" w:hAnsi="Times New Roman"/>
          <w:bCs/>
          <w:i/>
          <w:sz w:val="24"/>
          <w:szCs w:val="24"/>
          <w:vertAlign w:val="superscript"/>
          <w:lang w:val="es-PE"/>
        </w:rPr>
        <w:t>d</w:t>
      </w:r>
      <w:r w:rsidRPr="00283665">
        <w:rPr>
          <w:rFonts w:ascii="Times New Roman" w:hAnsi="Times New Roman"/>
          <w:i/>
          <w:sz w:val="24"/>
          <w:szCs w:val="24"/>
          <w:shd w:val="clear" w:color="auto" w:fill="FFFFFF"/>
          <w:lang w:val="es-PE"/>
        </w:rPr>
        <w:t xml:space="preserve"> Universidad </w:t>
      </w:r>
      <w:r w:rsidR="0071564C" w:rsidRPr="00283665">
        <w:rPr>
          <w:rFonts w:ascii="Times New Roman" w:hAnsi="Times New Roman"/>
          <w:i/>
          <w:sz w:val="24"/>
          <w:szCs w:val="24"/>
          <w:shd w:val="clear" w:color="auto" w:fill="FFFFFF"/>
          <w:lang w:val="es-PE"/>
        </w:rPr>
        <w:t>Científica</w:t>
      </w:r>
      <w:r w:rsidRPr="00283665">
        <w:rPr>
          <w:rFonts w:ascii="Times New Roman" w:hAnsi="Times New Roman"/>
          <w:i/>
          <w:sz w:val="24"/>
          <w:szCs w:val="24"/>
          <w:shd w:val="clear" w:color="auto" w:fill="FFFFFF"/>
          <w:lang w:val="es-PE"/>
        </w:rPr>
        <w:t xml:space="preserve"> del Sur,</w:t>
      </w:r>
      <w:r w:rsidR="002318E7">
        <w:rPr>
          <w:rFonts w:ascii="Times New Roman" w:hAnsi="Times New Roman"/>
          <w:i/>
          <w:sz w:val="24"/>
          <w:szCs w:val="24"/>
          <w:shd w:val="clear" w:color="auto" w:fill="FFFFFF"/>
          <w:lang w:val="es-PE"/>
        </w:rPr>
        <w:t xml:space="preserve"> Lima,</w:t>
      </w:r>
      <w:r w:rsidRPr="00283665">
        <w:rPr>
          <w:rFonts w:ascii="Times New Roman" w:hAnsi="Times New Roman"/>
          <w:i/>
          <w:sz w:val="24"/>
          <w:szCs w:val="24"/>
          <w:shd w:val="clear" w:color="auto" w:fill="FFFFFF"/>
          <w:lang w:val="es-PE"/>
        </w:rPr>
        <w:t xml:space="preserve"> </w:t>
      </w:r>
      <w:r w:rsidR="004520C1" w:rsidRPr="00283665">
        <w:rPr>
          <w:rFonts w:ascii="Times New Roman" w:hAnsi="Times New Roman"/>
          <w:i/>
          <w:sz w:val="24"/>
          <w:szCs w:val="24"/>
          <w:shd w:val="clear" w:color="auto" w:fill="FFFFFF"/>
          <w:lang w:val="es-PE"/>
        </w:rPr>
        <w:t>Perú</w:t>
      </w:r>
      <w:r w:rsidRPr="00283665">
        <w:rPr>
          <w:rFonts w:ascii="Times New Roman" w:hAnsi="Times New Roman"/>
          <w:i/>
          <w:sz w:val="24"/>
          <w:szCs w:val="24"/>
          <w:shd w:val="clear" w:color="auto" w:fill="FFFFFF"/>
          <w:lang w:val="es-PE"/>
        </w:rPr>
        <w:t>.</w:t>
      </w:r>
    </w:p>
    <w:p w14:paraId="719843D2" w14:textId="245B18CC" w:rsidR="002318E7" w:rsidRDefault="002318E7" w:rsidP="002318E7">
      <w:pPr>
        <w:spacing w:after="0" w:line="240" w:lineRule="auto"/>
        <w:rPr>
          <w:rFonts w:ascii="Times New Roman" w:hAnsi="Times New Roman"/>
          <w:i/>
          <w:sz w:val="24"/>
          <w:szCs w:val="24"/>
          <w:shd w:val="clear" w:color="auto" w:fill="FFFFFF"/>
          <w:lang w:val="es-PE"/>
        </w:rPr>
      </w:pPr>
      <w:r>
        <w:rPr>
          <w:rFonts w:ascii="Times New Roman" w:hAnsi="Times New Roman"/>
          <w:bCs/>
          <w:i/>
          <w:sz w:val="24"/>
          <w:szCs w:val="24"/>
          <w:vertAlign w:val="superscript"/>
          <w:lang w:val="es-PE"/>
        </w:rPr>
        <w:t>e</w:t>
      </w:r>
      <w:r w:rsidRPr="00283665">
        <w:rPr>
          <w:rFonts w:ascii="Times New Roman" w:hAnsi="Times New Roman"/>
          <w:i/>
          <w:sz w:val="24"/>
          <w:szCs w:val="24"/>
          <w:shd w:val="clear" w:color="auto" w:fill="FFFFFF"/>
          <w:lang w:val="es-PE"/>
        </w:rPr>
        <w:t xml:space="preserve"> Universidad </w:t>
      </w:r>
      <w:r>
        <w:rPr>
          <w:rFonts w:ascii="Times New Roman" w:hAnsi="Times New Roman"/>
          <w:i/>
          <w:sz w:val="24"/>
          <w:szCs w:val="24"/>
          <w:shd w:val="clear" w:color="auto" w:fill="FFFFFF"/>
          <w:lang w:val="es-PE"/>
        </w:rPr>
        <w:t>Nacional de Huancavelica</w:t>
      </w:r>
      <w:r w:rsidRPr="00283665">
        <w:rPr>
          <w:rFonts w:ascii="Times New Roman" w:hAnsi="Times New Roman"/>
          <w:i/>
          <w:sz w:val="24"/>
          <w:szCs w:val="24"/>
          <w:shd w:val="clear" w:color="auto" w:fill="FFFFFF"/>
          <w:lang w:val="es-PE"/>
        </w:rPr>
        <w:t xml:space="preserve">, </w:t>
      </w:r>
      <w:r>
        <w:rPr>
          <w:rFonts w:ascii="Times New Roman" w:hAnsi="Times New Roman"/>
          <w:i/>
          <w:sz w:val="24"/>
          <w:szCs w:val="24"/>
          <w:shd w:val="clear" w:color="auto" w:fill="FFFFFF"/>
          <w:lang w:val="es-PE"/>
        </w:rPr>
        <w:t xml:space="preserve">Huancavelica, </w:t>
      </w:r>
      <w:r w:rsidRPr="00283665">
        <w:rPr>
          <w:rFonts w:ascii="Times New Roman" w:hAnsi="Times New Roman"/>
          <w:i/>
          <w:sz w:val="24"/>
          <w:szCs w:val="24"/>
          <w:shd w:val="clear" w:color="auto" w:fill="FFFFFF"/>
          <w:lang w:val="es-PE"/>
        </w:rPr>
        <w:t>Perú.</w:t>
      </w:r>
    </w:p>
    <w:p w14:paraId="74B6C985" w14:textId="2000CC0D" w:rsidR="00283665" w:rsidRDefault="00283665" w:rsidP="00EF5258">
      <w:pPr>
        <w:spacing w:after="0" w:line="480" w:lineRule="auto"/>
        <w:rPr>
          <w:rFonts w:ascii="Times New Roman" w:hAnsi="Times New Roman"/>
          <w:sz w:val="24"/>
          <w:szCs w:val="24"/>
          <w:shd w:val="clear" w:color="auto" w:fill="FFFFFF"/>
          <w:lang w:val="pt-BR"/>
        </w:rPr>
      </w:pPr>
      <w:r w:rsidRPr="00D67748">
        <w:rPr>
          <w:rFonts w:ascii="Times New Roman" w:hAnsi="Times New Roman"/>
          <w:sz w:val="24"/>
          <w:szCs w:val="24"/>
          <w:lang w:val="pt-BR"/>
        </w:rPr>
        <w:t>*</w:t>
      </w:r>
      <w:r w:rsidRPr="00D67748">
        <w:rPr>
          <w:rFonts w:ascii="Times New Roman" w:hAnsi="Times New Roman"/>
          <w:sz w:val="24"/>
          <w:szCs w:val="24"/>
          <w:shd w:val="clear" w:color="auto" w:fill="FFFFFF"/>
          <w:lang w:val="pt-BR"/>
        </w:rPr>
        <w:t>Correspondenc</w:t>
      </w:r>
      <w:r w:rsidR="00A046BF">
        <w:rPr>
          <w:rFonts w:ascii="Times New Roman" w:hAnsi="Times New Roman"/>
          <w:sz w:val="24"/>
          <w:szCs w:val="24"/>
          <w:shd w:val="clear" w:color="auto" w:fill="FFFFFF"/>
          <w:lang w:val="pt-BR"/>
        </w:rPr>
        <w:t>e</w:t>
      </w:r>
      <w:r w:rsidRPr="00D67748">
        <w:rPr>
          <w:rFonts w:ascii="Times New Roman" w:hAnsi="Times New Roman"/>
          <w:sz w:val="24"/>
          <w:szCs w:val="24"/>
          <w:shd w:val="clear" w:color="auto" w:fill="FFFFFF"/>
          <w:lang w:val="pt-BR"/>
        </w:rPr>
        <w:t xml:space="preserve">: </w:t>
      </w:r>
      <w:r w:rsidR="004520C1" w:rsidRPr="00D67748">
        <w:rPr>
          <w:rFonts w:ascii="Times New Roman" w:hAnsi="Times New Roman"/>
          <w:i/>
          <w:sz w:val="24"/>
          <w:szCs w:val="24"/>
          <w:shd w:val="clear" w:color="auto" w:fill="FFFFFF"/>
          <w:lang w:val="pt-BR"/>
        </w:rPr>
        <w:t>E-mail</w:t>
      </w:r>
      <w:r w:rsidRPr="00D67748">
        <w:rPr>
          <w:rFonts w:ascii="Times New Roman" w:hAnsi="Times New Roman"/>
          <w:sz w:val="24"/>
          <w:szCs w:val="24"/>
          <w:shd w:val="clear" w:color="auto" w:fill="FFFFFF"/>
          <w:lang w:val="pt-BR"/>
        </w:rPr>
        <w:t xml:space="preserve">: </w:t>
      </w:r>
      <w:hyperlink r:id="rId7" w:history="1">
        <w:r w:rsidR="00713F54" w:rsidRPr="00EC6100">
          <w:rPr>
            <w:rStyle w:val="Hipervnculo"/>
            <w:bCs/>
            <w:color w:val="auto"/>
            <w:u w:val="none"/>
            <w:lang w:val="pt-BR"/>
          </w:rPr>
          <w:t>russbelt.yaulilahua@unh.edu.pe</w:t>
        </w:r>
      </w:hyperlink>
      <w:r w:rsidR="00F347C2" w:rsidRPr="00EC6100">
        <w:rPr>
          <w:rFonts w:ascii="Times New Roman" w:hAnsi="Times New Roman"/>
          <w:sz w:val="24"/>
          <w:szCs w:val="24"/>
          <w:shd w:val="clear" w:color="auto" w:fill="FFFFFF"/>
          <w:lang w:val="pt-BR"/>
        </w:rPr>
        <w:t xml:space="preserve"> </w:t>
      </w:r>
      <w:r w:rsidRPr="00EC6100">
        <w:rPr>
          <w:rFonts w:ascii="Times New Roman" w:hAnsi="Times New Roman"/>
          <w:sz w:val="24"/>
          <w:szCs w:val="24"/>
          <w:shd w:val="clear" w:color="auto" w:fill="FFFFFF"/>
          <w:lang w:val="pt-BR"/>
        </w:rPr>
        <w:t xml:space="preserve"> </w:t>
      </w:r>
    </w:p>
    <w:p w14:paraId="09F842E4" w14:textId="77777777" w:rsidR="0054575C" w:rsidRPr="00EF5258" w:rsidRDefault="0054575C" w:rsidP="00EF5258">
      <w:pPr>
        <w:spacing w:after="0" w:line="480" w:lineRule="auto"/>
        <w:rPr>
          <w:rFonts w:ascii="Times New Roman" w:hAnsi="Times New Roman"/>
          <w:sz w:val="24"/>
          <w:szCs w:val="24"/>
          <w:shd w:val="clear" w:color="auto" w:fill="FFFFFF"/>
          <w:lang w:val="pt-BR"/>
        </w:rPr>
      </w:pPr>
    </w:p>
    <w:p w14:paraId="3A145183" w14:textId="07C2228C" w:rsidR="00C71C4F" w:rsidRPr="00A706A3" w:rsidRDefault="00C71C4F" w:rsidP="00C71C4F">
      <w:pPr>
        <w:pStyle w:val="Ttulo1"/>
        <w:tabs>
          <w:tab w:val="left" w:pos="3103"/>
          <w:tab w:val="center" w:pos="4110"/>
        </w:tabs>
        <w:spacing w:before="0" w:line="480" w:lineRule="auto"/>
        <w:jc w:val="center"/>
        <w:rPr>
          <w:rFonts w:ascii="Times New Roman" w:hAnsi="Times New Roman" w:cs="Times New Roman"/>
          <w:color w:val="auto"/>
          <w:sz w:val="24"/>
          <w:szCs w:val="24"/>
          <w:lang w:val="en-US"/>
        </w:rPr>
      </w:pPr>
      <w:bookmarkStart w:id="0" w:name="_Toc31132740"/>
      <w:r w:rsidRPr="00A706A3">
        <w:rPr>
          <w:rFonts w:ascii="Times New Roman" w:hAnsi="Times New Roman" w:cs="Times New Roman"/>
          <w:color w:val="auto"/>
          <w:sz w:val="24"/>
          <w:szCs w:val="24"/>
          <w:lang w:val="en-US"/>
        </w:rPr>
        <w:t>Abstract</w:t>
      </w:r>
    </w:p>
    <w:p w14:paraId="3887F05F" w14:textId="27A667F4" w:rsidR="00C71C4F" w:rsidRPr="00A706A3" w:rsidRDefault="00C71C4F" w:rsidP="00C71C4F">
      <w:pPr>
        <w:spacing w:line="360" w:lineRule="auto"/>
        <w:jc w:val="both"/>
        <w:rPr>
          <w:rFonts w:ascii="Times New Roman" w:hAnsi="Times New Roman"/>
          <w:sz w:val="24"/>
          <w:szCs w:val="24"/>
          <w:lang w:val="en-US"/>
        </w:rPr>
      </w:pPr>
      <w:r w:rsidRPr="00A706A3">
        <w:rPr>
          <w:rFonts w:ascii="Times New Roman" w:hAnsi="Times New Roman"/>
          <w:b/>
          <w:bCs/>
          <w:sz w:val="24"/>
          <w:szCs w:val="24"/>
          <w:lang w:val="en-US"/>
        </w:rPr>
        <w:t>Objective</w:t>
      </w:r>
      <w:r w:rsidRPr="00A706A3">
        <w:rPr>
          <w:rFonts w:ascii="Times New Roman" w:hAnsi="Times New Roman"/>
          <w:sz w:val="24"/>
          <w:szCs w:val="24"/>
          <w:lang w:val="en-US"/>
        </w:rPr>
        <w:t xml:space="preserve">. </w:t>
      </w:r>
      <w:r w:rsidR="007966AB" w:rsidRPr="00A706A3">
        <w:rPr>
          <w:rFonts w:ascii="Times New Roman" w:hAnsi="Times New Roman"/>
          <w:sz w:val="24"/>
          <w:szCs w:val="24"/>
          <w:lang w:val="en-US"/>
        </w:rPr>
        <w:t>to determine the relationship between osteoporosis and knowledge of bone decalcification in workers of a national university in Lima</w:t>
      </w:r>
      <w:r w:rsidRPr="00A706A3">
        <w:rPr>
          <w:rFonts w:ascii="Times New Roman" w:hAnsi="Times New Roman"/>
          <w:sz w:val="24"/>
          <w:szCs w:val="24"/>
          <w:lang w:val="en-US"/>
        </w:rPr>
        <w:t xml:space="preserve">. </w:t>
      </w:r>
      <w:r w:rsidRPr="00A706A3">
        <w:rPr>
          <w:rFonts w:ascii="Times New Roman" w:hAnsi="Times New Roman"/>
          <w:b/>
          <w:bCs/>
          <w:sz w:val="24"/>
          <w:szCs w:val="24"/>
          <w:lang w:val="en-US"/>
        </w:rPr>
        <w:t>Materials and methods</w:t>
      </w:r>
      <w:r w:rsidRPr="00A706A3">
        <w:rPr>
          <w:rFonts w:ascii="Times New Roman" w:hAnsi="Times New Roman"/>
          <w:sz w:val="24"/>
          <w:szCs w:val="24"/>
          <w:lang w:val="en-US"/>
        </w:rPr>
        <w:t xml:space="preserve">. </w:t>
      </w:r>
      <w:r w:rsidR="007966AB" w:rsidRPr="00A706A3">
        <w:rPr>
          <w:rFonts w:ascii="Times New Roman" w:hAnsi="Times New Roman"/>
          <w:sz w:val="24"/>
          <w:szCs w:val="24"/>
          <w:lang w:val="en-US"/>
        </w:rPr>
        <w:t>Correlational study in workers over 40 years of age at the National University of Education in Lima-Peru. Purposive sample, a questionnaire validated by expert judgment with Cro</w:t>
      </w:r>
      <w:r w:rsidR="00AB63A7" w:rsidRPr="00A706A3">
        <w:rPr>
          <w:rFonts w:ascii="Times New Roman" w:hAnsi="Times New Roman"/>
          <w:sz w:val="24"/>
          <w:szCs w:val="24"/>
          <w:lang w:val="en-US"/>
        </w:rPr>
        <w:t>n</w:t>
      </w:r>
      <w:r w:rsidR="007966AB" w:rsidRPr="00A706A3">
        <w:rPr>
          <w:rFonts w:ascii="Times New Roman" w:hAnsi="Times New Roman"/>
          <w:sz w:val="24"/>
          <w:szCs w:val="24"/>
          <w:lang w:val="en-US"/>
        </w:rPr>
        <w:t xml:space="preserve">bach's alpha of 0.926 was applied, </w:t>
      </w:r>
      <w:r w:rsidR="00AB63A7" w:rsidRPr="00A706A3">
        <w:rPr>
          <w:rFonts w:ascii="Times New Roman" w:hAnsi="Times New Roman"/>
          <w:sz w:val="24"/>
          <w:szCs w:val="24"/>
          <w:lang w:val="en-US"/>
        </w:rPr>
        <w:t xml:space="preserve">and </w:t>
      </w:r>
      <w:r w:rsidR="007966AB" w:rsidRPr="00A706A3">
        <w:rPr>
          <w:rFonts w:ascii="Times New Roman" w:hAnsi="Times New Roman"/>
          <w:sz w:val="24"/>
          <w:szCs w:val="24"/>
          <w:lang w:val="en-US"/>
        </w:rPr>
        <w:t>the participants gave their informed consent</w:t>
      </w:r>
      <w:r w:rsidRPr="00A706A3">
        <w:rPr>
          <w:rFonts w:ascii="Times New Roman" w:hAnsi="Times New Roman"/>
          <w:sz w:val="24"/>
          <w:szCs w:val="24"/>
          <w:lang w:val="en-US"/>
        </w:rPr>
        <w:t xml:space="preserve">. </w:t>
      </w:r>
      <w:r w:rsidRPr="00A706A3">
        <w:rPr>
          <w:rFonts w:ascii="Times New Roman" w:hAnsi="Times New Roman"/>
          <w:b/>
          <w:sz w:val="24"/>
          <w:szCs w:val="24"/>
          <w:lang w:val="en-US"/>
        </w:rPr>
        <w:t>Results</w:t>
      </w:r>
      <w:r w:rsidRPr="00A706A3">
        <w:rPr>
          <w:rFonts w:ascii="Times New Roman" w:hAnsi="Times New Roman"/>
          <w:sz w:val="24"/>
          <w:szCs w:val="24"/>
          <w:lang w:val="en-US"/>
        </w:rPr>
        <w:t xml:space="preserve">. </w:t>
      </w:r>
      <w:r w:rsidR="007966AB" w:rsidRPr="00A706A3">
        <w:rPr>
          <w:rFonts w:ascii="Times New Roman" w:hAnsi="Times New Roman"/>
          <w:sz w:val="24"/>
          <w:szCs w:val="24"/>
          <w:lang w:val="en-US"/>
        </w:rPr>
        <w:t>A total of 104 workers were interviewed, of whom 36.54% (38) were male and 63.46% (66) were female, with an average age of 55.32 +/- 9.09 years and an average Body Mass Index of 26.06 +/- 4.32. Bone fracture</w:t>
      </w:r>
      <w:r w:rsidR="00AB63A7" w:rsidRPr="00A706A3">
        <w:rPr>
          <w:rFonts w:ascii="Times New Roman" w:hAnsi="Times New Roman"/>
          <w:sz w:val="24"/>
          <w:szCs w:val="24"/>
          <w:lang w:val="en-US"/>
        </w:rPr>
        <w:t>s</w:t>
      </w:r>
      <w:r w:rsidR="007966AB" w:rsidRPr="00A706A3">
        <w:rPr>
          <w:rFonts w:ascii="Times New Roman" w:hAnsi="Times New Roman"/>
          <w:sz w:val="24"/>
          <w:szCs w:val="24"/>
          <w:lang w:val="en-US"/>
        </w:rPr>
        <w:t xml:space="preserve"> affected 19.2% of respondents and 6% of their parents. On the other hand, 63.5% of participants had medium to high knowledge of bone decalcification. While the prevalence of osteoporosis reached 25% (n=26). The research found little or no association (Spearman's Rho=-0.085) between knowledge of bone decalcification and osteoporosis</w:t>
      </w:r>
      <w:r w:rsidRPr="00A706A3">
        <w:rPr>
          <w:rFonts w:ascii="Times New Roman" w:hAnsi="Times New Roman"/>
          <w:sz w:val="24"/>
          <w:szCs w:val="24"/>
          <w:lang w:val="en-US"/>
        </w:rPr>
        <w:t xml:space="preserve">. </w:t>
      </w:r>
      <w:r w:rsidRPr="00A706A3">
        <w:rPr>
          <w:rFonts w:ascii="Times New Roman" w:hAnsi="Times New Roman"/>
          <w:b/>
          <w:bCs/>
          <w:sz w:val="24"/>
          <w:szCs w:val="24"/>
          <w:lang w:val="en-US"/>
        </w:rPr>
        <w:t>Discussion/Conclusion</w:t>
      </w:r>
      <w:r w:rsidRPr="00A706A3">
        <w:rPr>
          <w:rFonts w:ascii="Times New Roman" w:hAnsi="Times New Roman"/>
          <w:sz w:val="24"/>
          <w:szCs w:val="24"/>
          <w:lang w:val="en-US"/>
        </w:rPr>
        <w:t xml:space="preserve">: </w:t>
      </w:r>
      <w:r w:rsidR="007966AB" w:rsidRPr="00A706A3">
        <w:rPr>
          <w:rFonts w:ascii="Times New Roman" w:hAnsi="Times New Roman"/>
          <w:sz w:val="24"/>
          <w:szCs w:val="24"/>
          <w:lang w:val="en-US"/>
        </w:rPr>
        <w:t xml:space="preserve">UNE workers </w:t>
      </w:r>
      <w:r w:rsidR="00AB63A7" w:rsidRPr="00A706A3">
        <w:rPr>
          <w:rFonts w:ascii="Times New Roman" w:hAnsi="Times New Roman"/>
          <w:sz w:val="24"/>
          <w:szCs w:val="24"/>
          <w:lang w:val="en-US"/>
        </w:rPr>
        <w:t>know</w:t>
      </w:r>
      <w:r w:rsidR="007966AB" w:rsidRPr="00A706A3">
        <w:rPr>
          <w:rFonts w:ascii="Times New Roman" w:hAnsi="Times New Roman"/>
          <w:sz w:val="24"/>
          <w:szCs w:val="24"/>
          <w:lang w:val="en-US"/>
        </w:rPr>
        <w:t xml:space="preserve"> bone decalcification</w:t>
      </w:r>
      <w:r w:rsidRPr="00A706A3">
        <w:rPr>
          <w:rFonts w:ascii="Times New Roman" w:hAnsi="Times New Roman"/>
          <w:sz w:val="24"/>
          <w:szCs w:val="24"/>
          <w:lang w:val="en-US"/>
        </w:rPr>
        <w:t>.</w:t>
      </w:r>
    </w:p>
    <w:p w14:paraId="7BB06B61" w14:textId="6EF18BA7" w:rsidR="00C71C4F" w:rsidRPr="00A706A3" w:rsidRDefault="00C71C4F" w:rsidP="00C71C4F">
      <w:pPr>
        <w:pStyle w:val="Ttulo1"/>
        <w:tabs>
          <w:tab w:val="left" w:pos="3103"/>
          <w:tab w:val="center" w:pos="4110"/>
        </w:tabs>
        <w:spacing w:before="0" w:line="480" w:lineRule="auto"/>
        <w:rPr>
          <w:rFonts w:ascii="Times New Roman" w:hAnsi="Times New Roman" w:cs="Times New Roman"/>
          <w:color w:val="auto"/>
          <w:sz w:val="24"/>
          <w:szCs w:val="24"/>
          <w:lang w:val="en-US"/>
        </w:rPr>
      </w:pPr>
      <w:r w:rsidRPr="00A706A3">
        <w:rPr>
          <w:rFonts w:ascii="Times New Roman" w:hAnsi="Times New Roman"/>
          <w:color w:val="auto"/>
          <w:sz w:val="24"/>
          <w:szCs w:val="24"/>
          <w:lang w:val="en-US"/>
        </w:rPr>
        <w:t xml:space="preserve">Keywords: </w:t>
      </w:r>
      <w:r w:rsidR="007966AB" w:rsidRPr="00A706A3">
        <w:rPr>
          <w:rFonts w:ascii="Times New Roman" w:hAnsi="Times New Roman"/>
          <w:b w:val="0"/>
          <w:bCs w:val="0"/>
          <w:color w:val="auto"/>
          <w:sz w:val="24"/>
          <w:szCs w:val="24"/>
          <w:lang w:val="en-US"/>
        </w:rPr>
        <w:t>osteoporosis, decalcification, university workers.</w:t>
      </w:r>
    </w:p>
    <w:p w14:paraId="1A8F17CC" w14:textId="1E13E121" w:rsidR="00AD2C72" w:rsidRPr="00CE4512" w:rsidRDefault="00AD2C72" w:rsidP="00AD2C72">
      <w:pPr>
        <w:pStyle w:val="Ttulo1"/>
        <w:tabs>
          <w:tab w:val="left" w:pos="3103"/>
          <w:tab w:val="center" w:pos="4110"/>
        </w:tabs>
        <w:spacing w:before="0" w:line="480" w:lineRule="auto"/>
        <w:jc w:val="center"/>
        <w:rPr>
          <w:rFonts w:ascii="Times New Roman" w:hAnsi="Times New Roman" w:cs="Times New Roman"/>
          <w:color w:val="auto"/>
          <w:sz w:val="24"/>
          <w:szCs w:val="24"/>
        </w:rPr>
      </w:pPr>
      <w:r w:rsidRPr="00CE4512">
        <w:rPr>
          <w:rFonts w:ascii="Times New Roman" w:hAnsi="Times New Roman" w:cs="Times New Roman"/>
          <w:color w:val="auto"/>
          <w:sz w:val="24"/>
          <w:szCs w:val="24"/>
        </w:rPr>
        <w:t>Resumen</w:t>
      </w:r>
      <w:bookmarkEnd w:id="0"/>
    </w:p>
    <w:p w14:paraId="0D64CC8E" w14:textId="40D151A3" w:rsidR="00AD2C72" w:rsidRPr="00CE4512" w:rsidRDefault="00FB7BEA" w:rsidP="00E929D5">
      <w:pPr>
        <w:spacing w:line="360" w:lineRule="auto"/>
        <w:jc w:val="both"/>
        <w:rPr>
          <w:rFonts w:ascii="Times New Roman" w:hAnsi="Times New Roman"/>
          <w:sz w:val="24"/>
          <w:szCs w:val="24"/>
          <w:lang w:val="es-ES_tradnl"/>
        </w:rPr>
      </w:pPr>
      <w:r w:rsidRPr="00CE4512">
        <w:rPr>
          <w:rFonts w:ascii="Times New Roman" w:hAnsi="Times New Roman"/>
          <w:b/>
          <w:bCs/>
          <w:sz w:val="24"/>
          <w:szCs w:val="24"/>
          <w:lang w:val="es-PE"/>
        </w:rPr>
        <w:t>Objetivo</w:t>
      </w:r>
      <w:r w:rsidRPr="00CE4512">
        <w:rPr>
          <w:rFonts w:ascii="Times New Roman" w:hAnsi="Times New Roman"/>
          <w:sz w:val="24"/>
          <w:szCs w:val="24"/>
          <w:lang w:val="es-PE"/>
        </w:rPr>
        <w:t xml:space="preserve">. </w:t>
      </w:r>
      <w:r w:rsidRPr="00CE4512">
        <w:rPr>
          <w:rFonts w:ascii="Times New Roman" w:hAnsi="Times New Roman"/>
          <w:sz w:val="24"/>
          <w:szCs w:val="24"/>
          <w:lang w:val="es-ES_tradnl"/>
        </w:rPr>
        <w:t>determinar</w:t>
      </w:r>
      <w:r w:rsidR="00AD2C72" w:rsidRPr="00CE4512">
        <w:rPr>
          <w:rFonts w:ascii="Times New Roman" w:hAnsi="Times New Roman"/>
          <w:sz w:val="24"/>
          <w:szCs w:val="24"/>
          <w:lang w:val="es-ES_tradnl"/>
        </w:rPr>
        <w:t xml:space="preserve"> la relación de osteoporosis con el conocimiento de descalcificación ósea en trabajadores de </w:t>
      </w:r>
      <w:r w:rsidRPr="00CE4512">
        <w:rPr>
          <w:rFonts w:ascii="Times New Roman" w:hAnsi="Times New Roman"/>
          <w:sz w:val="24"/>
          <w:szCs w:val="24"/>
          <w:lang w:val="es-ES_tradnl"/>
        </w:rPr>
        <w:t>una universidad nacional de Lima</w:t>
      </w:r>
      <w:r w:rsidR="00AD2C72" w:rsidRPr="00CE4512">
        <w:rPr>
          <w:rFonts w:ascii="Times New Roman" w:hAnsi="Times New Roman"/>
          <w:b/>
          <w:bCs/>
          <w:sz w:val="24"/>
          <w:szCs w:val="24"/>
          <w:lang w:val="es-ES_tradnl"/>
        </w:rPr>
        <w:t xml:space="preserve">. </w:t>
      </w:r>
      <w:r w:rsidRPr="00CE4512">
        <w:rPr>
          <w:rFonts w:ascii="Times New Roman" w:hAnsi="Times New Roman"/>
          <w:b/>
          <w:bCs/>
          <w:sz w:val="24"/>
          <w:szCs w:val="24"/>
          <w:lang w:val="es-ES_tradnl"/>
        </w:rPr>
        <w:t>M</w:t>
      </w:r>
      <w:r w:rsidR="003346D8" w:rsidRPr="00CE4512">
        <w:rPr>
          <w:rFonts w:ascii="Times New Roman" w:hAnsi="Times New Roman"/>
          <w:b/>
          <w:bCs/>
          <w:sz w:val="24"/>
          <w:szCs w:val="24"/>
          <w:lang w:val="es-ES_tradnl"/>
        </w:rPr>
        <w:t>aterial</w:t>
      </w:r>
      <w:r w:rsidR="00E218EF">
        <w:rPr>
          <w:rFonts w:ascii="Times New Roman" w:hAnsi="Times New Roman"/>
          <w:b/>
          <w:bCs/>
          <w:sz w:val="24"/>
          <w:szCs w:val="24"/>
          <w:lang w:val="es-ES_tradnl"/>
        </w:rPr>
        <w:t>es</w:t>
      </w:r>
      <w:r w:rsidR="003346D8" w:rsidRPr="00CE4512">
        <w:rPr>
          <w:rFonts w:ascii="Times New Roman" w:hAnsi="Times New Roman"/>
          <w:b/>
          <w:bCs/>
          <w:sz w:val="24"/>
          <w:szCs w:val="24"/>
          <w:lang w:val="es-ES_tradnl"/>
        </w:rPr>
        <w:t xml:space="preserve"> y método</w:t>
      </w:r>
      <w:r w:rsidR="00E218EF">
        <w:rPr>
          <w:rFonts w:ascii="Times New Roman" w:hAnsi="Times New Roman"/>
          <w:b/>
          <w:bCs/>
          <w:sz w:val="24"/>
          <w:szCs w:val="24"/>
          <w:lang w:val="es-ES_tradnl"/>
        </w:rPr>
        <w:t>s</w:t>
      </w:r>
      <w:r w:rsidRPr="00CE4512">
        <w:rPr>
          <w:rFonts w:ascii="Times New Roman" w:hAnsi="Times New Roman"/>
          <w:sz w:val="24"/>
          <w:szCs w:val="24"/>
          <w:lang w:val="es-ES_tradnl"/>
        </w:rPr>
        <w:t>. Estudio c</w:t>
      </w:r>
      <w:r w:rsidR="00AD2C72" w:rsidRPr="00CE4512">
        <w:rPr>
          <w:rFonts w:ascii="Times New Roman" w:hAnsi="Times New Roman"/>
          <w:sz w:val="24"/>
          <w:szCs w:val="24"/>
          <w:lang w:val="es-ES_tradnl"/>
        </w:rPr>
        <w:t xml:space="preserve">orrelacional en trabajadores </w:t>
      </w:r>
      <w:r w:rsidRPr="00CE4512">
        <w:rPr>
          <w:rFonts w:ascii="Times New Roman" w:hAnsi="Times New Roman"/>
          <w:sz w:val="24"/>
          <w:szCs w:val="24"/>
          <w:lang w:val="es-ES_tradnl"/>
        </w:rPr>
        <w:t xml:space="preserve">mayores de </w:t>
      </w:r>
      <w:r w:rsidR="00AD2C72" w:rsidRPr="00CE4512">
        <w:rPr>
          <w:rFonts w:ascii="Times New Roman" w:hAnsi="Times New Roman"/>
          <w:sz w:val="24"/>
          <w:szCs w:val="24"/>
          <w:lang w:val="es-ES_tradnl"/>
        </w:rPr>
        <w:t>40 años</w:t>
      </w:r>
      <w:r w:rsidRPr="00CE4512">
        <w:rPr>
          <w:rFonts w:ascii="Times New Roman" w:hAnsi="Times New Roman"/>
          <w:sz w:val="24"/>
          <w:szCs w:val="24"/>
          <w:lang w:val="es-ES_tradnl"/>
        </w:rPr>
        <w:t xml:space="preserve"> de la Universidad Nacional de Educaci</w:t>
      </w:r>
      <w:r w:rsidR="00C71A99">
        <w:rPr>
          <w:rFonts w:ascii="Times New Roman" w:hAnsi="Times New Roman"/>
          <w:sz w:val="24"/>
          <w:szCs w:val="24"/>
          <w:lang w:val="es-ES_tradnl"/>
        </w:rPr>
        <w:t xml:space="preserve">ón en Lima-Perú. </w:t>
      </w:r>
      <w:r w:rsidRPr="00CE4512">
        <w:rPr>
          <w:rFonts w:ascii="Times New Roman" w:hAnsi="Times New Roman"/>
          <w:sz w:val="24"/>
          <w:szCs w:val="24"/>
          <w:lang w:val="es-ES_tradnl"/>
        </w:rPr>
        <w:t xml:space="preserve">Muestra </w:t>
      </w:r>
      <w:r w:rsidR="00AD2C72" w:rsidRPr="00CE4512">
        <w:rPr>
          <w:rFonts w:ascii="Times New Roman" w:hAnsi="Times New Roman"/>
          <w:sz w:val="24"/>
          <w:szCs w:val="24"/>
          <w:lang w:val="es-ES_tradnl"/>
        </w:rPr>
        <w:t>intencionada</w:t>
      </w:r>
      <w:r w:rsidRPr="00CE4512">
        <w:rPr>
          <w:rFonts w:ascii="Times New Roman" w:hAnsi="Times New Roman"/>
          <w:sz w:val="24"/>
          <w:szCs w:val="24"/>
          <w:lang w:val="es-ES_tradnl"/>
        </w:rPr>
        <w:t xml:space="preserve">, se aplicó un cuestionario validado por juicio de expertos </w:t>
      </w:r>
      <w:r w:rsidRPr="001F6D9D">
        <w:rPr>
          <w:rFonts w:ascii="Times New Roman" w:hAnsi="Times New Roman"/>
          <w:sz w:val="24"/>
          <w:szCs w:val="24"/>
          <w:lang w:val="es-ES_tradnl"/>
        </w:rPr>
        <w:t xml:space="preserve">con alfa de </w:t>
      </w:r>
      <w:proofErr w:type="spellStart"/>
      <w:r w:rsidRPr="001F6D9D">
        <w:rPr>
          <w:rFonts w:ascii="Times New Roman" w:hAnsi="Times New Roman"/>
          <w:sz w:val="24"/>
          <w:szCs w:val="24"/>
          <w:lang w:val="es-ES_tradnl"/>
        </w:rPr>
        <w:t>Crombach</w:t>
      </w:r>
      <w:proofErr w:type="spellEnd"/>
      <w:r w:rsidRPr="001F6D9D">
        <w:rPr>
          <w:rFonts w:ascii="Times New Roman" w:hAnsi="Times New Roman"/>
          <w:sz w:val="24"/>
          <w:szCs w:val="24"/>
          <w:lang w:val="es-ES_tradnl"/>
        </w:rPr>
        <w:t xml:space="preserve"> de</w:t>
      </w:r>
      <w:r w:rsidR="001F6D9D">
        <w:rPr>
          <w:rFonts w:ascii="Times New Roman" w:hAnsi="Times New Roman"/>
          <w:sz w:val="24"/>
          <w:szCs w:val="24"/>
          <w:lang w:val="es-ES_tradnl"/>
        </w:rPr>
        <w:t xml:space="preserve"> 0,926</w:t>
      </w:r>
      <w:r w:rsidRPr="00CE4512">
        <w:rPr>
          <w:rFonts w:ascii="Times New Roman" w:hAnsi="Times New Roman"/>
          <w:sz w:val="24"/>
          <w:szCs w:val="24"/>
          <w:lang w:val="es-ES_tradnl"/>
        </w:rPr>
        <w:t xml:space="preserve">, los participantes </w:t>
      </w:r>
      <w:r w:rsidR="001F6D9D" w:rsidRPr="00CE4512">
        <w:rPr>
          <w:rFonts w:ascii="Times New Roman" w:hAnsi="Times New Roman"/>
          <w:sz w:val="24"/>
          <w:szCs w:val="24"/>
          <w:lang w:val="es-ES_tradnl"/>
        </w:rPr>
        <w:t>dieron su</w:t>
      </w:r>
      <w:r w:rsidR="003346D8" w:rsidRPr="00CE4512">
        <w:rPr>
          <w:rFonts w:ascii="Times New Roman" w:hAnsi="Times New Roman"/>
          <w:sz w:val="24"/>
          <w:szCs w:val="24"/>
          <w:lang w:val="es-ES_tradnl"/>
        </w:rPr>
        <w:t xml:space="preserve"> </w:t>
      </w:r>
      <w:r w:rsidRPr="00CE4512">
        <w:rPr>
          <w:rFonts w:ascii="Times New Roman" w:hAnsi="Times New Roman"/>
          <w:sz w:val="24"/>
          <w:szCs w:val="24"/>
          <w:lang w:val="es-ES_tradnl"/>
        </w:rPr>
        <w:t>consentimiento</w:t>
      </w:r>
      <w:r w:rsidR="001F6D9D">
        <w:rPr>
          <w:rFonts w:ascii="Times New Roman" w:hAnsi="Times New Roman"/>
          <w:sz w:val="24"/>
          <w:szCs w:val="24"/>
          <w:lang w:val="es-ES_tradnl"/>
        </w:rPr>
        <w:t xml:space="preserve"> </w:t>
      </w:r>
      <w:r w:rsidR="001F6D9D">
        <w:rPr>
          <w:rFonts w:ascii="Times New Roman" w:hAnsi="Times New Roman"/>
          <w:sz w:val="24"/>
          <w:szCs w:val="24"/>
          <w:lang w:val="es-ES_tradnl"/>
        </w:rPr>
        <w:lastRenderedPageBreak/>
        <w:t>informado</w:t>
      </w:r>
      <w:r w:rsidR="00AD2C72" w:rsidRPr="00CE4512">
        <w:rPr>
          <w:rFonts w:ascii="Times New Roman" w:hAnsi="Times New Roman"/>
          <w:sz w:val="24"/>
          <w:szCs w:val="24"/>
          <w:lang w:val="es-ES_tradnl"/>
        </w:rPr>
        <w:t xml:space="preserve">. </w:t>
      </w:r>
      <w:r w:rsidR="00AD2C72" w:rsidRPr="00CE4512">
        <w:rPr>
          <w:rFonts w:ascii="Times New Roman" w:hAnsi="Times New Roman"/>
          <w:b/>
          <w:sz w:val="24"/>
          <w:szCs w:val="24"/>
          <w:lang w:val="es-ES_tradnl"/>
        </w:rPr>
        <w:t>Resultados</w:t>
      </w:r>
      <w:r w:rsidR="005C19DF">
        <w:rPr>
          <w:rFonts w:ascii="Times New Roman" w:hAnsi="Times New Roman"/>
          <w:sz w:val="24"/>
          <w:szCs w:val="24"/>
          <w:lang w:val="es-ES_tradnl"/>
        </w:rPr>
        <w:t>.</w:t>
      </w:r>
      <w:r w:rsidR="00AD2C72" w:rsidRPr="00CE4512">
        <w:rPr>
          <w:rFonts w:ascii="Times New Roman" w:hAnsi="Times New Roman"/>
          <w:sz w:val="24"/>
          <w:szCs w:val="24"/>
          <w:lang w:val="es-ES_tradnl"/>
        </w:rPr>
        <w:t xml:space="preserve"> Se entrevistó a 104 trabajadores</w:t>
      </w:r>
      <w:r w:rsidR="007E3CC6" w:rsidRPr="00CE4512">
        <w:rPr>
          <w:rFonts w:ascii="Times New Roman" w:hAnsi="Times New Roman"/>
          <w:sz w:val="24"/>
          <w:szCs w:val="24"/>
          <w:lang w:val="es-ES_tradnl"/>
        </w:rPr>
        <w:t xml:space="preserve"> de los cuales el </w:t>
      </w:r>
      <w:r w:rsidR="006D22D3" w:rsidRPr="00CE4512">
        <w:rPr>
          <w:rFonts w:ascii="Times New Roman" w:hAnsi="Times New Roman"/>
          <w:sz w:val="24"/>
          <w:szCs w:val="24"/>
          <w:lang w:val="es-ES_tradnl"/>
        </w:rPr>
        <w:t>36.54%</w:t>
      </w:r>
      <w:r w:rsidR="00AD2C72" w:rsidRPr="00CE4512">
        <w:rPr>
          <w:rFonts w:ascii="Times New Roman" w:hAnsi="Times New Roman"/>
          <w:sz w:val="24"/>
          <w:szCs w:val="24"/>
          <w:lang w:val="es-ES_tradnl"/>
        </w:rPr>
        <w:t xml:space="preserve"> (</w:t>
      </w:r>
      <w:r w:rsidR="006D22D3" w:rsidRPr="00CE4512">
        <w:rPr>
          <w:rFonts w:ascii="Times New Roman" w:hAnsi="Times New Roman"/>
          <w:sz w:val="24"/>
          <w:szCs w:val="24"/>
          <w:lang w:val="es-ES_tradnl"/>
        </w:rPr>
        <w:t>38</w:t>
      </w:r>
      <w:r w:rsidR="00AD2C72" w:rsidRPr="00CE4512">
        <w:rPr>
          <w:rFonts w:ascii="Times New Roman" w:hAnsi="Times New Roman"/>
          <w:sz w:val="24"/>
          <w:szCs w:val="24"/>
          <w:lang w:val="es-ES_tradnl"/>
        </w:rPr>
        <w:t>)</w:t>
      </w:r>
      <w:r w:rsidR="007E3CC6" w:rsidRPr="00CE4512">
        <w:rPr>
          <w:rFonts w:ascii="Times New Roman" w:hAnsi="Times New Roman"/>
          <w:sz w:val="24"/>
          <w:szCs w:val="24"/>
          <w:lang w:val="es-ES_tradnl"/>
        </w:rPr>
        <w:t xml:space="preserve"> fueron</w:t>
      </w:r>
      <w:r w:rsidR="00AD2C72" w:rsidRPr="00CE4512">
        <w:rPr>
          <w:rFonts w:ascii="Times New Roman" w:hAnsi="Times New Roman"/>
          <w:sz w:val="24"/>
          <w:szCs w:val="24"/>
          <w:lang w:val="es-ES_tradnl"/>
        </w:rPr>
        <w:t xml:space="preserve"> varones y </w:t>
      </w:r>
      <w:r w:rsidR="006D22D3" w:rsidRPr="00CE4512">
        <w:rPr>
          <w:rFonts w:ascii="Times New Roman" w:hAnsi="Times New Roman"/>
          <w:sz w:val="24"/>
          <w:szCs w:val="24"/>
          <w:lang w:val="es-ES_tradnl"/>
        </w:rPr>
        <w:t>63.46%</w:t>
      </w:r>
      <w:r w:rsidR="00BC0452" w:rsidRPr="00CE4512">
        <w:rPr>
          <w:rFonts w:ascii="Times New Roman" w:hAnsi="Times New Roman"/>
          <w:sz w:val="24"/>
          <w:szCs w:val="24"/>
          <w:lang w:val="es-ES_tradnl"/>
        </w:rPr>
        <w:t xml:space="preserve"> (66)</w:t>
      </w:r>
      <w:r w:rsidR="006D22D3" w:rsidRPr="00CE4512">
        <w:rPr>
          <w:rFonts w:ascii="Times New Roman" w:hAnsi="Times New Roman"/>
          <w:sz w:val="24"/>
          <w:szCs w:val="24"/>
          <w:lang w:val="es-ES_tradnl"/>
        </w:rPr>
        <w:t xml:space="preserve"> mujeres</w:t>
      </w:r>
      <w:r w:rsidR="00AD2C72" w:rsidRPr="00CE4512">
        <w:rPr>
          <w:rFonts w:ascii="Times New Roman" w:hAnsi="Times New Roman"/>
          <w:sz w:val="24"/>
          <w:szCs w:val="24"/>
          <w:lang w:val="es-ES_tradnl"/>
        </w:rPr>
        <w:t xml:space="preserve">, con edad promedio de 55.32+/- 9.09 años </w:t>
      </w:r>
      <w:r w:rsidR="00BC0452" w:rsidRPr="00CE4512">
        <w:rPr>
          <w:rFonts w:ascii="Times New Roman" w:hAnsi="Times New Roman"/>
          <w:sz w:val="24"/>
          <w:szCs w:val="24"/>
          <w:lang w:val="es-ES_tradnl"/>
        </w:rPr>
        <w:t>e índice</w:t>
      </w:r>
      <w:r w:rsidR="00AD2C72" w:rsidRPr="00CE4512">
        <w:rPr>
          <w:rFonts w:ascii="Times New Roman" w:hAnsi="Times New Roman"/>
          <w:sz w:val="24"/>
          <w:szCs w:val="24"/>
          <w:lang w:val="es-ES_tradnl"/>
        </w:rPr>
        <w:t xml:space="preserve"> de Masa Corporal </w:t>
      </w:r>
      <w:r w:rsidR="00BC0452" w:rsidRPr="00CE4512">
        <w:rPr>
          <w:rFonts w:ascii="Times New Roman" w:hAnsi="Times New Roman"/>
          <w:sz w:val="24"/>
          <w:szCs w:val="24"/>
          <w:lang w:val="es-ES_tradnl"/>
        </w:rPr>
        <w:t>medio</w:t>
      </w:r>
      <w:r w:rsidR="00AD2C72" w:rsidRPr="00CE4512">
        <w:rPr>
          <w:rFonts w:ascii="Times New Roman" w:hAnsi="Times New Roman"/>
          <w:sz w:val="24"/>
          <w:szCs w:val="24"/>
          <w:lang w:val="es-ES_tradnl"/>
        </w:rPr>
        <w:t xml:space="preserve"> de 26.06 +/- 4.32.</w:t>
      </w:r>
      <w:r w:rsidR="00BC0452" w:rsidRPr="00CE4512">
        <w:rPr>
          <w:rFonts w:ascii="Times New Roman" w:hAnsi="Times New Roman"/>
          <w:sz w:val="24"/>
          <w:szCs w:val="24"/>
          <w:lang w:val="es-ES_tradnl"/>
        </w:rPr>
        <w:t xml:space="preserve"> La fractura ósea afectó al </w:t>
      </w:r>
      <w:r w:rsidR="00AD2C72" w:rsidRPr="00CE4512">
        <w:rPr>
          <w:rFonts w:ascii="Times New Roman" w:hAnsi="Times New Roman"/>
          <w:sz w:val="24"/>
          <w:szCs w:val="24"/>
          <w:lang w:val="es-ES_tradnl"/>
        </w:rPr>
        <w:t>19.2</w:t>
      </w:r>
      <w:r w:rsidR="00733C76" w:rsidRPr="00CE4512">
        <w:rPr>
          <w:rFonts w:ascii="Times New Roman" w:hAnsi="Times New Roman"/>
          <w:sz w:val="24"/>
          <w:szCs w:val="24"/>
          <w:lang w:val="es-ES_tradnl"/>
        </w:rPr>
        <w:t>% de</w:t>
      </w:r>
      <w:r w:rsidR="00BC0452" w:rsidRPr="00CE4512">
        <w:rPr>
          <w:rFonts w:ascii="Times New Roman" w:hAnsi="Times New Roman"/>
          <w:sz w:val="24"/>
          <w:szCs w:val="24"/>
          <w:lang w:val="es-ES_tradnl"/>
        </w:rPr>
        <w:t xml:space="preserve"> entrevistados </w:t>
      </w:r>
      <w:r w:rsidR="00AD2C72" w:rsidRPr="00CE4512">
        <w:rPr>
          <w:rFonts w:ascii="Times New Roman" w:hAnsi="Times New Roman"/>
          <w:sz w:val="24"/>
          <w:szCs w:val="24"/>
          <w:lang w:val="es-ES_tradnl"/>
        </w:rPr>
        <w:t xml:space="preserve">y </w:t>
      </w:r>
      <w:r w:rsidR="00BC0452" w:rsidRPr="00CE4512">
        <w:rPr>
          <w:rFonts w:ascii="Times New Roman" w:hAnsi="Times New Roman"/>
          <w:sz w:val="24"/>
          <w:szCs w:val="24"/>
          <w:lang w:val="es-ES_tradnl"/>
        </w:rPr>
        <w:t>a</w:t>
      </w:r>
      <w:r w:rsidR="006D22D3" w:rsidRPr="00CE4512">
        <w:rPr>
          <w:rFonts w:ascii="Times New Roman" w:hAnsi="Times New Roman"/>
          <w:sz w:val="24"/>
          <w:szCs w:val="24"/>
          <w:lang w:val="es-ES_tradnl"/>
        </w:rPr>
        <w:t>l 6</w:t>
      </w:r>
      <w:r w:rsidR="00AD2C72" w:rsidRPr="00CE4512">
        <w:rPr>
          <w:rFonts w:ascii="Times New Roman" w:hAnsi="Times New Roman"/>
          <w:sz w:val="24"/>
          <w:szCs w:val="24"/>
          <w:lang w:val="es-ES_tradnl"/>
        </w:rPr>
        <w:t>%</w:t>
      </w:r>
      <w:r w:rsidR="006D22D3" w:rsidRPr="00CE4512">
        <w:rPr>
          <w:rFonts w:ascii="Times New Roman" w:hAnsi="Times New Roman"/>
          <w:sz w:val="24"/>
          <w:szCs w:val="24"/>
          <w:lang w:val="es-ES_tradnl"/>
        </w:rPr>
        <w:t xml:space="preserve"> </w:t>
      </w:r>
      <w:r w:rsidR="00BC0452" w:rsidRPr="00CE4512">
        <w:rPr>
          <w:rFonts w:ascii="Times New Roman" w:hAnsi="Times New Roman"/>
          <w:sz w:val="24"/>
          <w:szCs w:val="24"/>
          <w:lang w:val="es-ES_tradnl"/>
        </w:rPr>
        <w:t>de sus progenitores</w:t>
      </w:r>
      <w:r w:rsidR="00AD2C72" w:rsidRPr="00CE4512">
        <w:rPr>
          <w:rFonts w:ascii="Times New Roman" w:hAnsi="Times New Roman"/>
          <w:sz w:val="24"/>
          <w:szCs w:val="24"/>
          <w:lang w:val="es-ES_tradnl"/>
        </w:rPr>
        <w:t>.</w:t>
      </w:r>
      <w:r w:rsidR="00BC0452" w:rsidRPr="00CE4512">
        <w:rPr>
          <w:rFonts w:ascii="Times New Roman" w:hAnsi="Times New Roman"/>
          <w:sz w:val="24"/>
          <w:szCs w:val="24"/>
          <w:lang w:val="es-ES_tradnl"/>
        </w:rPr>
        <w:t xml:space="preserve"> Por otro lado, </w:t>
      </w:r>
      <w:r w:rsidR="00733C76" w:rsidRPr="00CE4512">
        <w:rPr>
          <w:rFonts w:ascii="Times New Roman" w:hAnsi="Times New Roman"/>
          <w:sz w:val="24"/>
          <w:szCs w:val="24"/>
          <w:lang w:val="es-ES_tradnl"/>
        </w:rPr>
        <w:t>el 63.5</w:t>
      </w:r>
      <w:r w:rsidR="00AD2C72" w:rsidRPr="00CE4512">
        <w:rPr>
          <w:rFonts w:ascii="Times New Roman" w:hAnsi="Times New Roman"/>
          <w:sz w:val="24"/>
          <w:szCs w:val="24"/>
          <w:lang w:val="es-ES_tradnl"/>
        </w:rPr>
        <w:t xml:space="preserve">% </w:t>
      </w:r>
      <w:r w:rsidR="006D22D3" w:rsidRPr="00CE4512">
        <w:rPr>
          <w:rFonts w:ascii="Times New Roman" w:hAnsi="Times New Roman"/>
          <w:sz w:val="24"/>
          <w:szCs w:val="24"/>
          <w:lang w:val="es-ES_tradnl"/>
        </w:rPr>
        <w:t xml:space="preserve">de participantes </w:t>
      </w:r>
      <w:r w:rsidR="00BC0452" w:rsidRPr="00CE4512">
        <w:rPr>
          <w:rFonts w:ascii="Times New Roman" w:hAnsi="Times New Roman"/>
          <w:sz w:val="24"/>
          <w:szCs w:val="24"/>
          <w:lang w:val="es-ES_tradnl"/>
        </w:rPr>
        <w:t xml:space="preserve">tuvo conocimientos de </w:t>
      </w:r>
      <w:r w:rsidR="00AD2C72" w:rsidRPr="00CE4512">
        <w:rPr>
          <w:rFonts w:ascii="Times New Roman" w:hAnsi="Times New Roman"/>
          <w:sz w:val="24"/>
          <w:szCs w:val="24"/>
          <w:lang w:val="es-ES_tradnl"/>
        </w:rPr>
        <w:t xml:space="preserve">medio </w:t>
      </w:r>
      <w:r w:rsidR="00BC0452" w:rsidRPr="00CE4512">
        <w:rPr>
          <w:rFonts w:ascii="Times New Roman" w:hAnsi="Times New Roman"/>
          <w:sz w:val="24"/>
          <w:szCs w:val="24"/>
          <w:lang w:val="es-ES_tradnl"/>
        </w:rPr>
        <w:t>a</w:t>
      </w:r>
      <w:r w:rsidR="006D22D3" w:rsidRPr="00CE4512">
        <w:rPr>
          <w:rFonts w:ascii="Times New Roman" w:hAnsi="Times New Roman"/>
          <w:sz w:val="24"/>
          <w:szCs w:val="24"/>
          <w:lang w:val="es-ES_tradnl"/>
        </w:rPr>
        <w:t xml:space="preserve"> </w:t>
      </w:r>
      <w:r w:rsidR="00AD2C72" w:rsidRPr="00CE4512">
        <w:rPr>
          <w:rFonts w:ascii="Times New Roman" w:hAnsi="Times New Roman"/>
          <w:sz w:val="24"/>
          <w:szCs w:val="24"/>
          <w:lang w:val="es-ES_tradnl"/>
        </w:rPr>
        <w:t xml:space="preserve">alto </w:t>
      </w:r>
      <w:r w:rsidR="006D22D3" w:rsidRPr="00CE4512">
        <w:rPr>
          <w:rFonts w:ascii="Times New Roman" w:hAnsi="Times New Roman"/>
          <w:sz w:val="24"/>
          <w:szCs w:val="24"/>
          <w:lang w:val="es-ES_tradnl"/>
        </w:rPr>
        <w:t>en</w:t>
      </w:r>
      <w:r w:rsidR="00AD2C72" w:rsidRPr="00CE4512">
        <w:rPr>
          <w:rFonts w:ascii="Times New Roman" w:hAnsi="Times New Roman"/>
          <w:sz w:val="24"/>
          <w:szCs w:val="24"/>
          <w:lang w:val="es-ES_tradnl"/>
        </w:rPr>
        <w:t xml:space="preserve"> descalcificación</w:t>
      </w:r>
      <w:r w:rsidR="00733C76" w:rsidRPr="00CE4512">
        <w:rPr>
          <w:rFonts w:ascii="Times New Roman" w:hAnsi="Times New Roman"/>
          <w:sz w:val="24"/>
          <w:szCs w:val="24"/>
          <w:lang w:val="es-ES_tradnl"/>
        </w:rPr>
        <w:t xml:space="preserve"> ósea</w:t>
      </w:r>
      <w:r w:rsidR="00AD2C72" w:rsidRPr="00CE4512">
        <w:rPr>
          <w:rFonts w:ascii="Times New Roman" w:hAnsi="Times New Roman"/>
          <w:sz w:val="24"/>
          <w:szCs w:val="24"/>
          <w:lang w:val="es-ES_tradnl"/>
        </w:rPr>
        <w:t xml:space="preserve">. </w:t>
      </w:r>
      <w:r w:rsidR="00733C76" w:rsidRPr="00CE4512">
        <w:rPr>
          <w:rFonts w:ascii="Times New Roman" w:hAnsi="Times New Roman"/>
          <w:sz w:val="24"/>
          <w:szCs w:val="24"/>
          <w:lang w:val="es-ES_tradnl"/>
        </w:rPr>
        <w:t>Mientras que la</w:t>
      </w:r>
      <w:r w:rsidR="00AD2C72" w:rsidRPr="00CE4512">
        <w:rPr>
          <w:rFonts w:ascii="Times New Roman" w:hAnsi="Times New Roman"/>
          <w:sz w:val="24"/>
          <w:szCs w:val="24"/>
          <w:lang w:val="es-ES_tradnl"/>
        </w:rPr>
        <w:t xml:space="preserve"> prevalencia de osteoporosis </w:t>
      </w:r>
      <w:r w:rsidR="006D22D3" w:rsidRPr="00CE4512">
        <w:rPr>
          <w:rFonts w:ascii="Times New Roman" w:hAnsi="Times New Roman"/>
          <w:sz w:val="24"/>
          <w:szCs w:val="24"/>
          <w:lang w:val="es-ES_tradnl"/>
        </w:rPr>
        <w:t xml:space="preserve">alcanzó un </w:t>
      </w:r>
      <w:r w:rsidR="00AD2C72" w:rsidRPr="00CE4512">
        <w:rPr>
          <w:rFonts w:ascii="Times New Roman" w:hAnsi="Times New Roman"/>
          <w:sz w:val="24"/>
          <w:szCs w:val="24"/>
          <w:lang w:val="es-ES_tradnl"/>
        </w:rPr>
        <w:t xml:space="preserve">25% (n=26). La investigación encontró una escasa o nula </w:t>
      </w:r>
      <w:r w:rsidR="007E3CC6" w:rsidRPr="00CE4512">
        <w:rPr>
          <w:rFonts w:ascii="Times New Roman" w:hAnsi="Times New Roman"/>
          <w:sz w:val="24"/>
          <w:szCs w:val="24"/>
          <w:lang w:val="es-ES_tradnl"/>
        </w:rPr>
        <w:t>asociación</w:t>
      </w:r>
      <w:r w:rsidR="00AD2C72" w:rsidRPr="00CE4512">
        <w:rPr>
          <w:rFonts w:ascii="Times New Roman" w:hAnsi="Times New Roman"/>
          <w:sz w:val="24"/>
          <w:szCs w:val="24"/>
          <w:lang w:val="es-ES_tradnl"/>
        </w:rPr>
        <w:t xml:space="preserve"> (</w:t>
      </w:r>
      <w:r w:rsidR="00F83298" w:rsidRPr="00CE4512">
        <w:rPr>
          <w:rFonts w:ascii="Times New Roman" w:hAnsi="Times New Roman"/>
          <w:sz w:val="24"/>
          <w:szCs w:val="24"/>
          <w:lang w:val="es-ES_tradnl"/>
        </w:rPr>
        <w:t xml:space="preserve">Rho de </w:t>
      </w:r>
      <w:proofErr w:type="spellStart"/>
      <w:r w:rsidR="00AD2C72" w:rsidRPr="00CE4512">
        <w:rPr>
          <w:rFonts w:ascii="Times New Roman" w:hAnsi="Times New Roman"/>
          <w:sz w:val="24"/>
          <w:szCs w:val="24"/>
          <w:lang w:val="es-ES_tradnl"/>
        </w:rPr>
        <w:t>Spearman</w:t>
      </w:r>
      <w:proofErr w:type="spellEnd"/>
      <w:r w:rsidR="00AD2C72" w:rsidRPr="00CE4512">
        <w:rPr>
          <w:rFonts w:ascii="Times New Roman" w:hAnsi="Times New Roman"/>
          <w:sz w:val="24"/>
          <w:szCs w:val="24"/>
          <w:lang w:val="es-ES_tradnl"/>
        </w:rPr>
        <w:t>=-0,085)</w:t>
      </w:r>
      <w:r w:rsidR="006D22D3" w:rsidRPr="00CE4512">
        <w:rPr>
          <w:rFonts w:ascii="Times New Roman" w:hAnsi="Times New Roman"/>
          <w:sz w:val="24"/>
          <w:szCs w:val="24"/>
          <w:lang w:val="es-ES_tradnl"/>
        </w:rPr>
        <w:t xml:space="preserve"> </w:t>
      </w:r>
      <w:r w:rsidR="00AD2C72" w:rsidRPr="00CE4512">
        <w:rPr>
          <w:rFonts w:ascii="Times New Roman" w:hAnsi="Times New Roman"/>
          <w:sz w:val="24"/>
          <w:szCs w:val="24"/>
          <w:lang w:val="es-ES_tradnl"/>
        </w:rPr>
        <w:t xml:space="preserve">entre el conocimiento de descalcificación </w:t>
      </w:r>
      <w:r w:rsidR="00733C76" w:rsidRPr="00CE4512">
        <w:rPr>
          <w:rFonts w:ascii="Times New Roman" w:hAnsi="Times New Roman"/>
          <w:sz w:val="24"/>
          <w:szCs w:val="24"/>
          <w:lang w:val="es-ES_tradnl"/>
        </w:rPr>
        <w:t xml:space="preserve">ósea </w:t>
      </w:r>
      <w:r w:rsidR="00AD2C72" w:rsidRPr="00CE4512">
        <w:rPr>
          <w:rFonts w:ascii="Times New Roman" w:hAnsi="Times New Roman"/>
          <w:sz w:val="24"/>
          <w:szCs w:val="24"/>
          <w:lang w:val="es-ES_tradnl"/>
        </w:rPr>
        <w:t>y</w:t>
      </w:r>
      <w:r w:rsidR="00F83298" w:rsidRPr="00CE4512">
        <w:rPr>
          <w:rFonts w:ascii="Times New Roman" w:hAnsi="Times New Roman"/>
          <w:sz w:val="24"/>
          <w:szCs w:val="24"/>
          <w:lang w:val="es-ES_tradnl"/>
        </w:rPr>
        <w:t xml:space="preserve"> la osteoporosis</w:t>
      </w:r>
      <w:r w:rsidR="00AD2C72" w:rsidRPr="00CE4512">
        <w:rPr>
          <w:rFonts w:ascii="Times New Roman" w:hAnsi="Times New Roman"/>
          <w:sz w:val="24"/>
          <w:szCs w:val="24"/>
          <w:lang w:val="es-ES_tradnl"/>
        </w:rPr>
        <w:t>.</w:t>
      </w:r>
      <w:r w:rsidR="003346D8" w:rsidRPr="00CE4512">
        <w:rPr>
          <w:rFonts w:ascii="Times New Roman" w:hAnsi="Times New Roman"/>
          <w:sz w:val="24"/>
          <w:szCs w:val="24"/>
          <w:lang w:val="es-ES_tradnl"/>
        </w:rPr>
        <w:t xml:space="preserve"> </w:t>
      </w:r>
      <w:r w:rsidR="003346D8" w:rsidRPr="00CE4512">
        <w:rPr>
          <w:rFonts w:ascii="Times New Roman" w:hAnsi="Times New Roman"/>
          <w:b/>
          <w:bCs/>
          <w:sz w:val="24"/>
          <w:szCs w:val="24"/>
          <w:lang w:val="es-ES_tradnl"/>
        </w:rPr>
        <w:t>Discusión</w:t>
      </w:r>
      <w:r w:rsidR="00F015D6">
        <w:rPr>
          <w:rFonts w:ascii="Times New Roman" w:hAnsi="Times New Roman"/>
          <w:sz w:val="24"/>
          <w:szCs w:val="24"/>
          <w:lang w:val="es-ES_tradnl"/>
        </w:rPr>
        <w:t>/</w:t>
      </w:r>
      <w:r w:rsidR="003346D8" w:rsidRPr="00F015D6">
        <w:rPr>
          <w:rFonts w:ascii="Times New Roman" w:hAnsi="Times New Roman"/>
          <w:b/>
          <w:sz w:val="24"/>
          <w:szCs w:val="24"/>
          <w:lang w:val="es-ES_tradnl"/>
        </w:rPr>
        <w:t>Conclusión</w:t>
      </w:r>
      <w:r w:rsidR="00AD2C72" w:rsidRPr="00CE4512">
        <w:rPr>
          <w:rFonts w:ascii="Times New Roman" w:hAnsi="Times New Roman"/>
          <w:sz w:val="24"/>
          <w:szCs w:val="24"/>
          <w:lang w:val="es-ES_tradnl"/>
        </w:rPr>
        <w:t xml:space="preserve">: Los trabajadores de la UNE </w:t>
      </w:r>
      <w:r w:rsidR="00733C76" w:rsidRPr="00CE4512">
        <w:rPr>
          <w:rFonts w:ascii="Times New Roman" w:hAnsi="Times New Roman"/>
          <w:sz w:val="24"/>
          <w:szCs w:val="24"/>
          <w:lang w:val="es-ES_tradnl"/>
        </w:rPr>
        <w:t xml:space="preserve">poseen </w:t>
      </w:r>
      <w:r w:rsidR="007E3CC6" w:rsidRPr="00CE4512">
        <w:rPr>
          <w:rFonts w:ascii="Times New Roman" w:hAnsi="Times New Roman"/>
          <w:sz w:val="24"/>
          <w:szCs w:val="24"/>
          <w:lang w:val="es-ES_tradnl"/>
        </w:rPr>
        <w:t>conocim</w:t>
      </w:r>
      <w:r w:rsidR="00C71A99">
        <w:rPr>
          <w:rFonts w:ascii="Times New Roman" w:hAnsi="Times New Roman"/>
          <w:sz w:val="24"/>
          <w:szCs w:val="24"/>
          <w:lang w:val="es-ES_tradnl"/>
        </w:rPr>
        <w:t>ientos de descalcificación ósea.</w:t>
      </w:r>
    </w:p>
    <w:p w14:paraId="6F08230C" w14:textId="08700CE0" w:rsidR="00AD2C72" w:rsidRPr="00CE4512" w:rsidRDefault="00AD2C72" w:rsidP="00E929D5">
      <w:pPr>
        <w:spacing w:line="480" w:lineRule="auto"/>
        <w:rPr>
          <w:rFonts w:ascii="Times New Roman" w:hAnsi="Times New Roman"/>
          <w:sz w:val="24"/>
          <w:szCs w:val="24"/>
          <w:lang w:val="es-ES_tradnl"/>
        </w:rPr>
      </w:pPr>
      <w:r w:rsidRPr="00CE4512">
        <w:rPr>
          <w:rFonts w:ascii="Times New Roman" w:hAnsi="Times New Roman"/>
          <w:b/>
          <w:sz w:val="24"/>
          <w:szCs w:val="24"/>
          <w:lang w:val="es-ES_tradnl"/>
        </w:rPr>
        <w:t xml:space="preserve">Palabras clave: </w:t>
      </w:r>
      <w:r w:rsidR="00C71A99">
        <w:rPr>
          <w:rFonts w:ascii="Times New Roman" w:hAnsi="Times New Roman"/>
          <w:sz w:val="24"/>
          <w:szCs w:val="24"/>
          <w:lang w:val="es-ES_tradnl"/>
        </w:rPr>
        <w:t xml:space="preserve">osteoporosis, </w:t>
      </w:r>
      <w:r w:rsidR="001F6D9D" w:rsidRPr="00CE4512">
        <w:rPr>
          <w:rFonts w:ascii="Times New Roman" w:hAnsi="Times New Roman"/>
          <w:sz w:val="24"/>
          <w:szCs w:val="24"/>
          <w:lang w:val="es-ES_tradnl"/>
        </w:rPr>
        <w:t>descalcificación</w:t>
      </w:r>
      <w:r w:rsidRPr="00CE4512">
        <w:rPr>
          <w:rFonts w:ascii="Times New Roman" w:hAnsi="Times New Roman"/>
          <w:sz w:val="24"/>
          <w:szCs w:val="24"/>
          <w:lang w:val="es-ES_tradnl"/>
        </w:rPr>
        <w:t>, trabajadores de universidad.</w:t>
      </w:r>
    </w:p>
    <w:p w14:paraId="6D27A717" w14:textId="77777777" w:rsidR="00AD2C72" w:rsidRPr="00CE4512" w:rsidRDefault="00AD2C72" w:rsidP="00AD2C72">
      <w:pPr>
        <w:rPr>
          <w:rFonts w:ascii="Times New Roman" w:hAnsi="Times New Roman"/>
          <w:sz w:val="24"/>
          <w:szCs w:val="24"/>
          <w:lang w:val="es-ES_tradnl"/>
        </w:rPr>
      </w:pPr>
      <w:r w:rsidRPr="00CE4512">
        <w:rPr>
          <w:rFonts w:ascii="Times New Roman" w:hAnsi="Times New Roman"/>
          <w:sz w:val="24"/>
          <w:szCs w:val="24"/>
          <w:lang w:val="es-ES_tradnl"/>
        </w:rPr>
        <w:br w:type="page"/>
      </w:r>
    </w:p>
    <w:p w14:paraId="242E67F8" w14:textId="0F59A8A2" w:rsidR="00A873D0" w:rsidRPr="00A706A3" w:rsidRDefault="00A873D0" w:rsidP="00AD2C72">
      <w:pPr>
        <w:pStyle w:val="NormalWeb"/>
        <w:spacing w:before="0" w:beforeAutospacing="0" w:after="0" w:afterAutospacing="0"/>
        <w:jc w:val="both"/>
        <w:rPr>
          <w:lang w:val="en-US"/>
        </w:rPr>
      </w:pPr>
      <w:r w:rsidRPr="00A706A3">
        <w:rPr>
          <w:b/>
          <w:lang w:val="en-US"/>
        </w:rPr>
        <w:lastRenderedPageBreak/>
        <w:t>Introduc</w:t>
      </w:r>
      <w:r w:rsidR="007966AB" w:rsidRPr="00A706A3">
        <w:rPr>
          <w:b/>
          <w:lang w:val="en-US"/>
        </w:rPr>
        <w:t>tio</w:t>
      </w:r>
      <w:r w:rsidRPr="00A706A3">
        <w:rPr>
          <w:b/>
          <w:lang w:val="en-US"/>
        </w:rPr>
        <w:t>n</w:t>
      </w:r>
    </w:p>
    <w:p w14:paraId="21E304AF" w14:textId="77777777" w:rsidR="002647F1" w:rsidRPr="00A706A3" w:rsidRDefault="002647F1" w:rsidP="00062B0C">
      <w:pPr>
        <w:spacing w:after="0" w:line="360" w:lineRule="auto"/>
        <w:ind w:left="720"/>
        <w:rPr>
          <w:rFonts w:ascii="Times New Roman" w:eastAsia="Times New Roman" w:hAnsi="Times New Roman"/>
          <w:b/>
          <w:sz w:val="28"/>
          <w:szCs w:val="28"/>
          <w:lang w:val="en-US" w:eastAsia="es-PE"/>
        </w:rPr>
      </w:pPr>
    </w:p>
    <w:p w14:paraId="71E07264" w14:textId="35EEC6B8" w:rsidR="002647F1" w:rsidRPr="00A706A3" w:rsidRDefault="007966AB" w:rsidP="00E929D5">
      <w:pPr>
        <w:spacing w:after="0" w:line="360" w:lineRule="auto"/>
        <w:ind w:firstLine="425"/>
        <w:jc w:val="both"/>
        <w:rPr>
          <w:rFonts w:ascii="Times New Roman" w:eastAsia="Times New Roman" w:hAnsi="Times New Roman"/>
          <w:sz w:val="24"/>
          <w:szCs w:val="24"/>
          <w:lang w:val="en-US" w:eastAsia="es-PE"/>
        </w:rPr>
      </w:pPr>
      <w:r w:rsidRPr="00A706A3">
        <w:rPr>
          <w:rFonts w:ascii="Times New Roman" w:eastAsia="Times New Roman" w:hAnsi="Times New Roman"/>
          <w:sz w:val="24"/>
          <w:szCs w:val="24"/>
          <w:lang w:val="en-US" w:eastAsia="es-PE"/>
        </w:rPr>
        <w:t>Osteoporosis (OP) is a pathology that produces general alteration of the human skeleton and is characterized by a low bone tissue mass that induces a gradual deterioration and an increase in fractures and other skeletal lesions in vulnerable individuals</w:t>
      </w:r>
      <w:r w:rsidR="001E61ED" w:rsidRPr="002647F1">
        <w:rPr>
          <w:rFonts w:ascii="Times New Roman" w:eastAsia="Times New Roman" w:hAnsi="Times New Roman"/>
          <w:sz w:val="24"/>
          <w:szCs w:val="24"/>
          <w:lang w:val="es-ES_tradnl" w:eastAsia="es-PE"/>
        </w:rPr>
        <w:fldChar w:fldCharType="begin"/>
      </w:r>
      <w:r w:rsidR="001E61ED" w:rsidRPr="00A706A3">
        <w:rPr>
          <w:rFonts w:ascii="Times New Roman" w:eastAsia="Times New Roman" w:hAnsi="Times New Roman"/>
          <w:sz w:val="24"/>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1E61ED" w:rsidRPr="002647F1">
        <w:rPr>
          <w:rFonts w:ascii="Times New Roman" w:eastAsia="Times New Roman" w:hAnsi="Times New Roman"/>
          <w:sz w:val="24"/>
          <w:szCs w:val="24"/>
          <w:lang w:val="es-ES_tradnl" w:eastAsia="es-PE"/>
        </w:rPr>
        <w:fldChar w:fldCharType="separate"/>
      </w:r>
      <w:r w:rsidR="001E61ED" w:rsidRPr="00A706A3">
        <w:rPr>
          <w:rFonts w:ascii="Times New Roman" w:eastAsia="Times New Roman" w:hAnsi="Times New Roman"/>
          <w:noProof/>
          <w:sz w:val="24"/>
          <w:szCs w:val="24"/>
          <w:vertAlign w:val="superscript"/>
          <w:lang w:val="en-US" w:eastAsia="es-PE"/>
        </w:rPr>
        <w:t>(1)</w:t>
      </w:r>
      <w:r w:rsidR="001E61ED" w:rsidRPr="002647F1">
        <w:rPr>
          <w:rFonts w:ascii="Times New Roman" w:eastAsia="Times New Roman" w:hAnsi="Times New Roman"/>
          <w:sz w:val="24"/>
          <w:szCs w:val="24"/>
          <w:lang w:val="es-ES_tradnl" w:eastAsia="es-PE"/>
        </w:rPr>
        <w:fldChar w:fldCharType="end"/>
      </w:r>
      <w:r w:rsidR="001E61ED" w:rsidRPr="00A706A3">
        <w:rPr>
          <w:rFonts w:ascii="Times New Roman" w:eastAsia="Times New Roman" w:hAnsi="Times New Roman"/>
          <w:sz w:val="24"/>
          <w:szCs w:val="24"/>
          <w:lang w:val="en-US" w:eastAsia="es-PE"/>
        </w:rPr>
        <w:t>.</w:t>
      </w:r>
      <w:r w:rsidR="0071564C" w:rsidRPr="00A706A3">
        <w:rPr>
          <w:rFonts w:ascii="Times New Roman" w:eastAsia="Times New Roman" w:hAnsi="Times New Roman"/>
          <w:sz w:val="24"/>
          <w:szCs w:val="24"/>
          <w:lang w:val="en-US" w:eastAsia="es-PE"/>
        </w:rPr>
        <w:t xml:space="preserve"> </w:t>
      </w:r>
    </w:p>
    <w:p w14:paraId="651D4400" w14:textId="77777777" w:rsidR="00062B0C" w:rsidRPr="00A706A3" w:rsidRDefault="00062B0C" w:rsidP="00E929D5">
      <w:pPr>
        <w:spacing w:after="0" w:line="360" w:lineRule="auto"/>
        <w:ind w:firstLine="425"/>
        <w:jc w:val="both"/>
        <w:rPr>
          <w:rFonts w:ascii="Times New Roman" w:eastAsia="Times New Roman" w:hAnsi="Times New Roman"/>
          <w:sz w:val="24"/>
          <w:szCs w:val="24"/>
          <w:lang w:val="en-US" w:eastAsia="es-PE"/>
        </w:rPr>
      </w:pPr>
    </w:p>
    <w:p w14:paraId="463A84C8" w14:textId="538B7CFD" w:rsidR="00016918" w:rsidRPr="00A706A3" w:rsidRDefault="007966AB" w:rsidP="00E929D5">
      <w:pPr>
        <w:spacing w:after="0" w:line="360" w:lineRule="auto"/>
        <w:ind w:firstLine="425"/>
        <w:jc w:val="both"/>
        <w:rPr>
          <w:rFonts w:ascii="Times New Roman" w:eastAsia="Times New Roman" w:hAnsi="Times New Roman"/>
          <w:sz w:val="24"/>
          <w:szCs w:val="24"/>
          <w:lang w:val="en-US" w:eastAsia="es-PE"/>
        </w:rPr>
      </w:pPr>
      <w:r w:rsidRPr="00A706A3">
        <w:rPr>
          <w:rFonts w:ascii="Times New Roman" w:eastAsia="Times New Roman" w:hAnsi="Times New Roman"/>
          <w:sz w:val="24"/>
          <w:szCs w:val="24"/>
          <w:lang w:val="en-US" w:eastAsia="es-PE"/>
        </w:rPr>
        <w:t>The International Osteoporosis Foundation</w:t>
      </w:r>
      <w:r w:rsidR="002647F1" w:rsidRPr="00A706A3">
        <w:rPr>
          <w:rFonts w:ascii="Times New Roman" w:eastAsia="Times New Roman" w:hAnsi="Times New Roman"/>
          <w:sz w:val="24"/>
          <w:szCs w:val="24"/>
          <w:lang w:val="en-US" w:eastAsia="es-PE"/>
        </w:rPr>
        <w:t xml:space="preserve"> (IOF)</w:t>
      </w:r>
      <w:r w:rsidR="002647F1" w:rsidRPr="002647F1">
        <w:rPr>
          <w:rFonts w:ascii="Times New Roman" w:eastAsia="Times New Roman" w:hAnsi="Times New Roman"/>
          <w:sz w:val="24"/>
          <w:szCs w:val="24"/>
          <w:lang w:val="es-ES_tradnl" w:eastAsia="es-PE"/>
        </w:rPr>
        <w:fldChar w:fldCharType="begin"/>
      </w:r>
      <w:r w:rsidR="002647F1" w:rsidRPr="00A706A3">
        <w:rPr>
          <w:rFonts w:ascii="Times New Roman" w:eastAsia="Times New Roman" w:hAnsi="Times New Roman"/>
          <w:sz w:val="24"/>
          <w:szCs w:val="24"/>
          <w:lang w:val="en-US" w:eastAsia="es-PE"/>
        </w:rPr>
        <w:instrText xml:space="preserve"> ADDIN EN.CITE &lt;EndNote&gt;&lt;Cite&gt;&lt;Author&gt;Johansson&lt;/Author&gt;&lt;Year&gt;2011&lt;/Year&gt;&lt;RecNum&gt;9&lt;/RecNum&gt;&lt;DisplayText&gt;&lt;style face="superscript" font="Times New Roman"&gt;(2)&lt;/style&gt;&lt;/DisplayText&gt;&lt;record&gt;&lt;rec-number&gt;9&lt;/rec-number&gt;&lt;foreign-keys&gt;&lt;key app="EN" db-id="tdaef2xzyrd9t3e5xvops22tpspddvfxa0sv" timestamp="1578872738"&gt;9&lt;/key&gt;&lt;/foreign-keys&gt;&lt;ref-type name="Journal Article"&gt;17&lt;/ref-type&gt;&lt;contributors&gt;&lt;authors&gt;&lt;author&gt;Johansson, Helena&lt;/author&gt;&lt;author&gt;Clark, P&lt;/author&gt;&lt;author&gt;Carlos, F&lt;/author&gt;&lt;author&gt;Oden, Anders&lt;/author&gt;&lt;author&gt;McCloskey, EV&lt;/author&gt;&lt;author&gt;Kanis, John A&lt;/author&gt;&lt;/authors&gt;&lt;/contributors&gt;&lt;titles&gt;&lt;title&gt;Increasing age-and sex-specific rates of hip fracture in Mexico: a survey of the Mexican Institute of Social Security&lt;/title&gt;&lt;secondary-title&gt;Osteoporosis international&lt;/secondary-title&gt;&lt;/titles&gt;&lt;periodical&gt;&lt;full-title&gt;Osteoporosis international&lt;/full-title&gt;&lt;/periodical&gt;&lt;pages&gt;2359-2364&lt;/pages&gt;&lt;volume&gt;22&lt;/volume&gt;&lt;number&gt;8&lt;/number&gt;&lt;dates&gt;&lt;year&gt;2011&lt;/year&gt;&lt;/dates&gt;&lt;isbn&gt;0937-941X&lt;/isbn&gt;&lt;urls&gt;&lt;/urls&gt;&lt;/record&gt;&lt;/Cite&gt;&lt;/EndNote&gt;</w:instrText>
      </w:r>
      <w:r w:rsidR="002647F1" w:rsidRPr="002647F1">
        <w:rPr>
          <w:rFonts w:ascii="Times New Roman" w:eastAsia="Times New Roman" w:hAnsi="Times New Roman"/>
          <w:sz w:val="24"/>
          <w:szCs w:val="24"/>
          <w:lang w:val="es-ES_tradnl" w:eastAsia="es-PE"/>
        </w:rPr>
        <w:fldChar w:fldCharType="separate"/>
      </w:r>
      <w:r w:rsidR="002647F1" w:rsidRPr="00A706A3">
        <w:rPr>
          <w:rFonts w:ascii="Times New Roman" w:eastAsia="Times New Roman" w:hAnsi="Times New Roman"/>
          <w:noProof/>
          <w:sz w:val="24"/>
          <w:szCs w:val="24"/>
          <w:vertAlign w:val="superscript"/>
          <w:lang w:val="en-US" w:eastAsia="es-PE"/>
        </w:rPr>
        <w:t>(2)</w:t>
      </w:r>
      <w:r w:rsidR="002647F1" w:rsidRPr="002647F1">
        <w:rPr>
          <w:rFonts w:ascii="Times New Roman" w:eastAsia="Times New Roman" w:hAnsi="Times New Roman"/>
          <w:sz w:val="24"/>
          <w:szCs w:val="24"/>
          <w:lang w:val="es-ES_tradnl" w:eastAsia="es-PE"/>
        </w:rPr>
        <w:fldChar w:fldCharType="end"/>
      </w:r>
      <w:r w:rsidR="002647F1" w:rsidRPr="00A706A3">
        <w:rPr>
          <w:rFonts w:ascii="Times New Roman" w:eastAsia="Times New Roman" w:hAnsi="Times New Roman"/>
          <w:sz w:val="24"/>
          <w:szCs w:val="24"/>
          <w:lang w:val="en-US" w:eastAsia="es-PE"/>
        </w:rPr>
        <w:t xml:space="preserve"> </w:t>
      </w:r>
      <w:r w:rsidRPr="00A706A3">
        <w:rPr>
          <w:rFonts w:ascii="Times New Roman" w:eastAsia="Times New Roman" w:hAnsi="Times New Roman"/>
          <w:sz w:val="24"/>
          <w:szCs w:val="24"/>
          <w:lang w:val="en-US" w:eastAsia="es-PE"/>
        </w:rPr>
        <w:t>revealed that one</w:t>
      </w:r>
      <w:r w:rsidR="00AB63A7" w:rsidRPr="00A706A3">
        <w:rPr>
          <w:rFonts w:ascii="Times New Roman" w:eastAsia="Times New Roman" w:hAnsi="Times New Roman"/>
          <w:sz w:val="24"/>
          <w:szCs w:val="24"/>
          <w:lang w:val="en-US" w:eastAsia="es-PE"/>
        </w:rPr>
        <w:t>-</w:t>
      </w:r>
      <w:r w:rsidRPr="00A706A3">
        <w:rPr>
          <w:rFonts w:ascii="Times New Roman" w:eastAsia="Times New Roman" w:hAnsi="Times New Roman"/>
          <w:sz w:val="24"/>
          <w:szCs w:val="24"/>
          <w:lang w:val="en-US" w:eastAsia="es-PE"/>
        </w:rPr>
        <w:t xml:space="preserve">third of women and 20% of men over 50 years of age will suffer from osteoporosis in 2019. In Latin America, this pathology will increase due to unhealthy lifestyles and an aging population. In Brazil, there are 10 million with a confirmed diagnosis; in Argentina, 75% of women over 50 have osteoporosis or osteopenia; in Mexico, one in four individuals suffers from it. In Peru, the prevalence of osteoporosis ranges from 30-40% in women over 60 years of age and 14% in men. </w:t>
      </w:r>
      <w:r w:rsidR="006D3795" w:rsidRPr="002647F1">
        <w:rPr>
          <w:rFonts w:ascii="Times New Roman" w:eastAsia="Times New Roman" w:hAnsi="Times New Roman"/>
          <w:sz w:val="24"/>
          <w:szCs w:val="24"/>
          <w:lang w:val="es-ES_tradnl" w:eastAsia="es-PE"/>
        </w:rPr>
        <w:fldChar w:fldCharType="begin"/>
      </w:r>
      <w:r w:rsidR="006D3795" w:rsidRPr="00A706A3">
        <w:rPr>
          <w:rFonts w:ascii="Times New Roman" w:eastAsia="Times New Roman" w:hAnsi="Times New Roman"/>
          <w:sz w:val="24"/>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6D3795" w:rsidRPr="002647F1">
        <w:rPr>
          <w:rFonts w:ascii="Times New Roman" w:eastAsia="Times New Roman" w:hAnsi="Times New Roman"/>
          <w:sz w:val="24"/>
          <w:szCs w:val="24"/>
          <w:lang w:val="es-ES_tradnl" w:eastAsia="es-PE"/>
        </w:rPr>
        <w:fldChar w:fldCharType="separate"/>
      </w:r>
      <w:r w:rsidR="006D3795" w:rsidRPr="00A706A3">
        <w:rPr>
          <w:rFonts w:ascii="Times New Roman" w:eastAsia="Times New Roman" w:hAnsi="Times New Roman"/>
          <w:noProof/>
          <w:sz w:val="24"/>
          <w:szCs w:val="24"/>
          <w:vertAlign w:val="superscript"/>
          <w:lang w:val="en-US" w:eastAsia="es-PE"/>
        </w:rPr>
        <w:t>(3)</w:t>
      </w:r>
      <w:r w:rsidR="006D3795" w:rsidRPr="002647F1">
        <w:rPr>
          <w:rFonts w:ascii="Times New Roman" w:eastAsia="Times New Roman" w:hAnsi="Times New Roman"/>
          <w:sz w:val="24"/>
          <w:szCs w:val="24"/>
          <w:lang w:val="es-ES_tradnl" w:eastAsia="es-PE"/>
        </w:rPr>
        <w:fldChar w:fldCharType="end"/>
      </w:r>
      <w:r w:rsidR="006D3795" w:rsidRPr="00A706A3">
        <w:rPr>
          <w:rFonts w:ascii="Times New Roman" w:eastAsia="Times New Roman" w:hAnsi="Times New Roman"/>
          <w:color w:val="C00000"/>
          <w:sz w:val="24"/>
          <w:szCs w:val="24"/>
          <w:lang w:val="en-US" w:eastAsia="es-PE"/>
        </w:rPr>
        <w:t xml:space="preserve"> </w:t>
      </w:r>
    </w:p>
    <w:p w14:paraId="1AEBF601" w14:textId="77777777" w:rsidR="006D3795" w:rsidRPr="00A706A3" w:rsidRDefault="006D3795" w:rsidP="00E929D5">
      <w:pPr>
        <w:spacing w:after="0" w:line="360" w:lineRule="auto"/>
        <w:ind w:firstLine="425"/>
        <w:jc w:val="both"/>
        <w:rPr>
          <w:rFonts w:ascii="Times New Roman" w:eastAsia="Times New Roman" w:hAnsi="Times New Roman"/>
          <w:sz w:val="24"/>
          <w:szCs w:val="24"/>
          <w:lang w:val="en-US" w:eastAsia="es-PE"/>
        </w:rPr>
      </w:pPr>
    </w:p>
    <w:p w14:paraId="2F6C8226" w14:textId="4E266F4E" w:rsidR="00AD55DA" w:rsidRPr="00A706A3" w:rsidRDefault="007966AB" w:rsidP="00E929D5">
      <w:pPr>
        <w:spacing w:after="0" w:line="360" w:lineRule="auto"/>
        <w:ind w:firstLine="425"/>
        <w:jc w:val="both"/>
        <w:rPr>
          <w:rFonts w:ascii="Times New Roman" w:eastAsia="Times New Roman" w:hAnsi="Times New Roman"/>
          <w:color w:val="C00000"/>
          <w:sz w:val="24"/>
          <w:szCs w:val="24"/>
          <w:lang w:val="en-US" w:eastAsia="es-PE"/>
        </w:rPr>
      </w:pPr>
      <w:r w:rsidRPr="00A706A3">
        <w:rPr>
          <w:rFonts w:ascii="Times New Roman" w:eastAsia="Times New Roman" w:hAnsi="Times New Roman"/>
          <w:sz w:val="24"/>
          <w:szCs w:val="24"/>
          <w:lang w:val="en-US" w:eastAsia="es-PE"/>
        </w:rPr>
        <w:t>As people accumulate youth, the prevalence and incidence of osteoporosis increase</w:t>
      </w:r>
      <w:r w:rsidR="00AB63A7" w:rsidRPr="00A706A3">
        <w:rPr>
          <w:rFonts w:ascii="Times New Roman" w:eastAsia="Times New Roman" w:hAnsi="Times New Roman"/>
          <w:sz w:val="24"/>
          <w:szCs w:val="24"/>
          <w:lang w:val="en-US" w:eastAsia="es-PE"/>
        </w:rPr>
        <w:t>,</w:t>
      </w:r>
      <w:r w:rsidRPr="00A706A3">
        <w:rPr>
          <w:rFonts w:ascii="Times New Roman" w:eastAsia="Times New Roman" w:hAnsi="Times New Roman"/>
          <w:sz w:val="24"/>
          <w:szCs w:val="24"/>
          <w:lang w:val="en-US" w:eastAsia="es-PE"/>
        </w:rPr>
        <w:t xml:space="preserve"> and fractures begin between 30 and 40 years of age, with a gradual loss of 0.3 to 0.5% of bone mass per year, with a maximum peak </w:t>
      </w:r>
      <w:r w:rsidR="00AB63A7" w:rsidRPr="00A706A3">
        <w:rPr>
          <w:rFonts w:ascii="Times New Roman" w:eastAsia="Times New Roman" w:hAnsi="Times New Roman"/>
          <w:sz w:val="24"/>
          <w:szCs w:val="24"/>
          <w:lang w:val="en-US" w:eastAsia="es-PE"/>
        </w:rPr>
        <w:t xml:space="preserve">of </w:t>
      </w:r>
      <w:r w:rsidRPr="00A706A3">
        <w:rPr>
          <w:rFonts w:ascii="Times New Roman" w:eastAsia="Times New Roman" w:hAnsi="Times New Roman"/>
          <w:sz w:val="24"/>
          <w:szCs w:val="24"/>
          <w:lang w:val="en-US" w:eastAsia="es-PE"/>
        </w:rPr>
        <w:t>3 to 5 years post-menopause and associated with estrogen loss.</w:t>
      </w:r>
      <w:r w:rsidR="00AB63A7" w:rsidRPr="00A706A3">
        <w:rPr>
          <w:rFonts w:ascii="Times New Roman" w:eastAsia="Times New Roman" w:hAnsi="Times New Roman"/>
          <w:sz w:val="24"/>
          <w:szCs w:val="24"/>
          <w:lang w:val="en-US" w:eastAsia="es-PE"/>
        </w:rPr>
        <w:t xml:space="preserve"> </w:t>
      </w:r>
      <w:r w:rsidR="001E61ED" w:rsidRPr="002647F1">
        <w:rPr>
          <w:rFonts w:ascii="Times New Roman" w:eastAsia="Times New Roman" w:hAnsi="Times New Roman"/>
          <w:sz w:val="24"/>
          <w:szCs w:val="24"/>
          <w:lang w:val="es-ES_tradnl" w:eastAsia="es-PE"/>
        </w:rPr>
        <w:fldChar w:fldCharType="begin"/>
      </w:r>
      <w:r w:rsidR="001E61ED" w:rsidRPr="00A706A3">
        <w:rPr>
          <w:rFonts w:ascii="Times New Roman" w:eastAsia="Times New Roman" w:hAnsi="Times New Roman"/>
          <w:sz w:val="24"/>
          <w:szCs w:val="24"/>
          <w:lang w:val="en-US"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1E61ED" w:rsidRPr="002647F1">
        <w:rPr>
          <w:rFonts w:ascii="Times New Roman" w:eastAsia="Times New Roman" w:hAnsi="Times New Roman"/>
          <w:sz w:val="24"/>
          <w:szCs w:val="24"/>
          <w:lang w:val="es-ES_tradnl" w:eastAsia="es-PE"/>
        </w:rPr>
        <w:fldChar w:fldCharType="separate"/>
      </w:r>
      <w:r w:rsidR="001E61ED" w:rsidRPr="00A706A3">
        <w:rPr>
          <w:rFonts w:ascii="Times New Roman" w:eastAsia="Times New Roman" w:hAnsi="Times New Roman"/>
          <w:noProof/>
          <w:sz w:val="24"/>
          <w:szCs w:val="24"/>
          <w:vertAlign w:val="superscript"/>
          <w:lang w:val="en-US" w:eastAsia="es-PE"/>
        </w:rPr>
        <w:t>(2)</w:t>
      </w:r>
      <w:r w:rsidR="001E61ED" w:rsidRPr="002647F1">
        <w:rPr>
          <w:rFonts w:ascii="Times New Roman" w:eastAsia="Times New Roman" w:hAnsi="Times New Roman"/>
          <w:sz w:val="24"/>
          <w:szCs w:val="24"/>
          <w:lang w:val="es-ES_tradnl" w:eastAsia="es-PE"/>
        </w:rPr>
        <w:fldChar w:fldCharType="end"/>
      </w:r>
    </w:p>
    <w:p w14:paraId="631A301F" w14:textId="77777777" w:rsidR="00C967DE" w:rsidRPr="00A706A3" w:rsidRDefault="00C967DE" w:rsidP="00E929D5">
      <w:pPr>
        <w:spacing w:after="0" w:line="360" w:lineRule="auto"/>
        <w:ind w:firstLine="425"/>
        <w:jc w:val="both"/>
        <w:rPr>
          <w:rFonts w:ascii="Times New Roman" w:eastAsia="Times New Roman" w:hAnsi="Times New Roman"/>
          <w:color w:val="C00000"/>
          <w:sz w:val="24"/>
          <w:szCs w:val="24"/>
          <w:lang w:val="en-US" w:eastAsia="es-PE"/>
        </w:rPr>
      </w:pPr>
    </w:p>
    <w:p w14:paraId="5A012EDF" w14:textId="27D893A5" w:rsidR="002647F1" w:rsidRPr="002647F1" w:rsidRDefault="009E1104" w:rsidP="00E929D5">
      <w:pPr>
        <w:spacing w:after="0" w:line="360" w:lineRule="auto"/>
        <w:ind w:firstLine="425"/>
        <w:jc w:val="both"/>
        <w:rPr>
          <w:rFonts w:ascii="Times New Roman" w:eastAsia="Times New Roman" w:hAnsi="Times New Roman"/>
          <w:sz w:val="24"/>
          <w:szCs w:val="24"/>
          <w:lang w:val="es-ES_tradnl" w:eastAsia="es-PE"/>
        </w:rPr>
      </w:pPr>
      <w:r w:rsidRPr="00A706A3">
        <w:rPr>
          <w:rFonts w:ascii="Times New Roman" w:eastAsia="Times New Roman" w:hAnsi="Times New Roman"/>
          <w:sz w:val="24"/>
          <w:szCs w:val="24"/>
          <w:lang w:val="en-US" w:eastAsia="es-PE"/>
        </w:rPr>
        <w:t xml:space="preserve">Osteoporosis evolves without symptoms or signs that only appear in advanced stages or </w:t>
      </w:r>
      <w:r w:rsidR="00AB63A7" w:rsidRPr="00A706A3">
        <w:rPr>
          <w:rFonts w:ascii="Times New Roman" w:eastAsia="Times New Roman" w:hAnsi="Times New Roman"/>
          <w:sz w:val="24"/>
          <w:szCs w:val="24"/>
          <w:lang w:val="en-US" w:eastAsia="es-PE"/>
        </w:rPr>
        <w:t xml:space="preserve">the </w:t>
      </w:r>
      <w:r w:rsidRPr="00A706A3">
        <w:rPr>
          <w:rFonts w:ascii="Times New Roman" w:eastAsia="Times New Roman" w:hAnsi="Times New Roman"/>
          <w:sz w:val="24"/>
          <w:szCs w:val="24"/>
          <w:lang w:val="en-US" w:eastAsia="es-PE"/>
        </w:rPr>
        <w:t xml:space="preserve">occurrence of fractures. Therefore, it is difficult to detect it, hence the importance of carrying out preventive screenings to detect bone weakness in a systematic way to groups at risk to prevent the pathology. </w:t>
      </w:r>
      <w:r w:rsidRPr="009E1104">
        <w:rPr>
          <w:rFonts w:ascii="Times New Roman" w:eastAsia="Times New Roman" w:hAnsi="Times New Roman"/>
          <w:sz w:val="24"/>
          <w:szCs w:val="24"/>
          <w:lang w:val="es-ES_tradnl" w:eastAsia="es-PE"/>
        </w:rPr>
        <w:t xml:space="preserve">Once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fracture </w:t>
      </w:r>
      <w:proofErr w:type="spellStart"/>
      <w:r w:rsidRPr="009E1104">
        <w:rPr>
          <w:rFonts w:ascii="Times New Roman" w:eastAsia="Times New Roman" w:hAnsi="Times New Roman"/>
          <w:sz w:val="24"/>
          <w:szCs w:val="24"/>
          <w:lang w:val="es-ES_tradnl" w:eastAsia="es-PE"/>
        </w:rPr>
        <w:t>occurs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most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typical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clinical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signs</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weakness</w:t>
      </w:r>
      <w:proofErr w:type="spellEnd"/>
      <w:r w:rsidRPr="009E1104">
        <w:rPr>
          <w:rFonts w:ascii="Times New Roman" w:eastAsia="Times New Roman" w:hAnsi="Times New Roman"/>
          <w:sz w:val="24"/>
          <w:szCs w:val="24"/>
          <w:lang w:val="es-ES_tradnl" w:eastAsia="es-PE"/>
        </w:rPr>
        <w:t xml:space="preserve"> are in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hip, </w:t>
      </w:r>
      <w:proofErr w:type="spellStart"/>
      <w:r w:rsidRPr="009E1104">
        <w:rPr>
          <w:rFonts w:ascii="Times New Roman" w:eastAsia="Times New Roman" w:hAnsi="Times New Roman"/>
          <w:sz w:val="24"/>
          <w:szCs w:val="24"/>
          <w:lang w:val="es-ES_tradnl" w:eastAsia="es-PE"/>
        </w:rPr>
        <w:t>forearm</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humerus</w:t>
      </w:r>
      <w:proofErr w:type="spellEnd"/>
      <w:r w:rsidRPr="009E1104">
        <w:rPr>
          <w:rFonts w:ascii="Times New Roman" w:eastAsia="Times New Roman" w:hAnsi="Times New Roman"/>
          <w:sz w:val="24"/>
          <w:szCs w:val="24"/>
          <w:lang w:val="es-ES_tradnl" w:eastAsia="es-PE"/>
        </w:rPr>
        <w:t xml:space="preserve">, and pelvis, </w:t>
      </w:r>
      <w:proofErr w:type="spellStart"/>
      <w:r w:rsidRPr="009E1104">
        <w:rPr>
          <w:rFonts w:ascii="Times New Roman" w:eastAsia="Times New Roman" w:hAnsi="Times New Roman"/>
          <w:sz w:val="24"/>
          <w:szCs w:val="24"/>
          <w:lang w:val="es-ES_tradnl" w:eastAsia="es-PE"/>
        </w:rPr>
        <w:t>among</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others</w:t>
      </w:r>
      <w:proofErr w:type="spellEnd"/>
      <w:r w:rsidR="00AB63A7">
        <w:rPr>
          <w:rFonts w:ascii="Times New Roman" w:eastAsia="Times New Roman" w:hAnsi="Times New Roman"/>
          <w:sz w:val="24"/>
          <w:szCs w:val="24"/>
          <w:lang w:val="es-ES_tradnl" w:eastAsia="es-PE"/>
        </w:rPr>
        <w:t xml:space="preserve">. </w:t>
      </w:r>
      <w:r w:rsidR="002647F1" w:rsidRPr="002647F1">
        <w:rPr>
          <w:rFonts w:ascii="Times New Roman" w:eastAsia="Times New Roman" w:hAnsi="Times New Roman"/>
          <w:sz w:val="24"/>
          <w:szCs w:val="24"/>
          <w:lang w:val="es-ES_tradnl" w:eastAsia="es-PE"/>
        </w:rPr>
        <w:fldChar w:fldCharType="begin"/>
      </w:r>
      <w:r w:rsidR="002647F1" w:rsidRPr="002647F1">
        <w:rPr>
          <w:rFonts w:ascii="Times New Roman" w:eastAsia="Times New Roman" w:hAnsi="Times New Roman"/>
          <w:sz w:val="24"/>
          <w:szCs w:val="24"/>
          <w:lang w:val="es-ES_tradnl" w:eastAsia="es-PE"/>
        </w:rPr>
        <w:instrText xml:space="preserve"> ADDIN EN.CITE &lt;EndNote&gt;&lt;Cite&gt;&lt;Author&gt;Rosen&lt;/Author&gt;&lt;Year&gt;2005&lt;/Year&gt;&lt;RecNum&gt;17&lt;/RecNum&gt;&lt;DisplayText&gt;&lt;style face="superscript" font="Times New Roman"&gt;(9)&lt;/style&gt;&lt;/DisplayText&gt;&lt;record&gt;&lt;rec-number&gt;17&lt;/rec-number&gt;&lt;foreign-keys&gt;&lt;key app="EN" db-id="tdaef2xzyrd9t3e5xvops22tpspddvfxa0sv" timestamp="1578876891"&gt;17&lt;/key&gt;&lt;/foreign-keys&gt;&lt;ref-type name="Journal Article"&gt;17&lt;/ref-type&gt;&lt;contributors&gt;&lt;authors&gt;&lt;author&gt;Rosen, Clifford J&lt;/author&gt;&lt;/authors&gt;&lt;/contributors&gt;&lt;titles&gt;&lt;title&gt;Postmenopausal osteoporosis&lt;/title&gt;&lt;secondary-title&gt;New England Journal of Medicine&lt;/secondary-title&gt;&lt;/titles&gt;&lt;periodical&gt;&lt;full-title&gt;New England Journal of Medicine&lt;/full-title&gt;&lt;/periodical&gt;&lt;pages&gt;595-603&lt;/pages&gt;&lt;volume&gt;353&lt;/volume&gt;&lt;number&gt;6&lt;/number&gt;&lt;dates&gt;&lt;year&gt;2005&lt;/year&gt;&lt;/dates&gt;&lt;isbn&gt;0028-4793&lt;/isbn&gt;&lt;urls&gt;&lt;/urls&gt;&lt;/record&gt;&lt;/Cite&gt;&lt;/EndNote&gt;</w:instrText>
      </w:r>
      <w:r w:rsidR="002647F1" w:rsidRPr="002647F1">
        <w:rPr>
          <w:rFonts w:ascii="Times New Roman" w:eastAsia="Times New Roman" w:hAnsi="Times New Roman"/>
          <w:sz w:val="24"/>
          <w:szCs w:val="24"/>
          <w:lang w:val="es-ES_tradnl" w:eastAsia="es-PE"/>
        </w:rPr>
        <w:fldChar w:fldCharType="separate"/>
      </w:r>
      <w:r w:rsidR="002647F1" w:rsidRPr="002647F1">
        <w:rPr>
          <w:rFonts w:ascii="Times New Roman" w:eastAsia="Times New Roman" w:hAnsi="Times New Roman"/>
          <w:noProof/>
          <w:sz w:val="24"/>
          <w:szCs w:val="24"/>
          <w:vertAlign w:val="superscript"/>
          <w:lang w:val="es-ES_tradnl" w:eastAsia="es-PE"/>
        </w:rPr>
        <w:t>(9)</w:t>
      </w:r>
      <w:r w:rsidR="002647F1" w:rsidRPr="002647F1">
        <w:rPr>
          <w:rFonts w:ascii="Times New Roman" w:eastAsia="Times New Roman" w:hAnsi="Times New Roman"/>
          <w:sz w:val="24"/>
          <w:szCs w:val="24"/>
          <w:lang w:val="es-ES_tradnl" w:eastAsia="es-PE"/>
        </w:rPr>
        <w:fldChar w:fldCharType="end"/>
      </w:r>
    </w:p>
    <w:p w14:paraId="3465A57D" w14:textId="77777777" w:rsidR="002647F1" w:rsidRPr="002647F1" w:rsidRDefault="002647F1" w:rsidP="00E929D5">
      <w:pPr>
        <w:spacing w:after="0" w:line="360" w:lineRule="auto"/>
        <w:jc w:val="both"/>
        <w:rPr>
          <w:rFonts w:ascii="Times New Roman" w:eastAsia="Times New Roman" w:hAnsi="Times New Roman"/>
          <w:sz w:val="24"/>
          <w:szCs w:val="24"/>
          <w:lang w:val="es-ES_tradnl" w:eastAsia="es-PE"/>
        </w:rPr>
      </w:pPr>
    </w:p>
    <w:p w14:paraId="6EEDF41F" w14:textId="33C11D14" w:rsidR="002647F1" w:rsidRPr="002647F1" w:rsidRDefault="009E1104" w:rsidP="00E929D5">
      <w:pPr>
        <w:spacing w:after="0" w:line="360" w:lineRule="auto"/>
        <w:contextualSpacing/>
        <w:jc w:val="both"/>
        <w:rPr>
          <w:rFonts w:ascii="Times New Roman" w:eastAsia="Times New Roman" w:hAnsi="Times New Roman"/>
          <w:sz w:val="24"/>
          <w:szCs w:val="24"/>
          <w:lang w:val="es-ES_tradnl" w:eastAsia="es-ES"/>
        </w:rPr>
      </w:pP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fragility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increased</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an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imbalance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between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formation</w:t>
      </w:r>
      <w:proofErr w:type="spellEnd"/>
      <w:r w:rsidRPr="009E1104">
        <w:rPr>
          <w:rFonts w:ascii="Times New Roman" w:eastAsia="Times New Roman" w:hAnsi="Times New Roman"/>
          <w:sz w:val="24"/>
          <w:szCs w:val="24"/>
          <w:lang w:val="es-ES_tradnl" w:eastAsia="es-ES"/>
        </w:rPr>
        <w:t xml:space="preserve"> and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resorption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mass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integrity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sequential</w:t>
      </w:r>
      <w:proofErr w:type="spellEnd"/>
      <w:r w:rsidRPr="009E1104">
        <w:rPr>
          <w:rFonts w:ascii="Times New Roman" w:eastAsia="Times New Roman" w:hAnsi="Times New Roman"/>
          <w:sz w:val="24"/>
          <w:szCs w:val="24"/>
          <w:lang w:val="es-ES_tradnl" w:eastAsia="es-ES"/>
        </w:rPr>
        <w:t xml:space="preserve"> and </w:t>
      </w:r>
      <w:proofErr w:type="spellStart"/>
      <w:r w:rsidRPr="009E1104">
        <w:rPr>
          <w:rFonts w:ascii="Times New Roman" w:eastAsia="Times New Roman" w:hAnsi="Times New Roman"/>
          <w:sz w:val="24"/>
          <w:szCs w:val="24"/>
          <w:lang w:val="es-ES_tradnl" w:eastAsia="es-ES"/>
        </w:rPr>
        <w:t>occurs</w:t>
      </w:r>
      <w:proofErr w:type="spellEnd"/>
      <w:r w:rsidRPr="009E1104">
        <w:rPr>
          <w:rFonts w:ascii="Times New Roman" w:eastAsia="Times New Roman" w:hAnsi="Times New Roman"/>
          <w:sz w:val="24"/>
          <w:szCs w:val="24"/>
          <w:lang w:val="es-ES_tradnl" w:eastAsia="es-ES"/>
        </w:rPr>
        <w:t xml:space="preserve"> in </w:t>
      </w:r>
      <w:proofErr w:type="spellStart"/>
      <w:r w:rsidRPr="009E1104">
        <w:rPr>
          <w:rFonts w:ascii="Times New Roman" w:eastAsia="Times New Roman" w:hAnsi="Times New Roman"/>
          <w:sz w:val="24"/>
          <w:szCs w:val="24"/>
          <w:lang w:val="es-ES_tradnl" w:eastAsia="es-ES"/>
        </w:rPr>
        <w:t>two</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stages</w:t>
      </w:r>
      <w:proofErr w:type="spellEnd"/>
      <w:r w:rsidRPr="009E1104">
        <w:rPr>
          <w:rFonts w:ascii="Times New Roman" w:eastAsia="Times New Roman" w:hAnsi="Times New Roman"/>
          <w:sz w:val="24"/>
          <w:szCs w:val="24"/>
          <w:lang w:val="es-ES_tradnl" w:eastAsia="es-ES"/>
        </w:rPr>
        <w:t xml:space="preserve">: 1) </w:t>
      </w:r>
      <w:proofErr w:type="spellStart"/>
      <w:r w:rsidRPr="009E1104">
        <w:rPr>
          <w:rFonts w:ascii="Times New Roman" w:eastAsia="Times New Roman" w:hAnsi="Times New Roman"/>
          <w:sz w:val="24"/>
          <w:szCs w:val="24"/>
          <w:lang w:val="es-ES_tradnl" w:eastAsia="es-ES"/>
        </w:rPr>
        <w:t>it</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starts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with</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resorption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that</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activates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osteoclasts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various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mechanisms</w:t>
      </w:r>
      <w:proofErr w:type="spellEnd"/>
      <w:r w:rsidRPr="009E1104">
        <w:rPr>
          <w:rFonts w:ascii="Times New Roman" w:eastAsia="Times New Roman" w:hAnsi="Times New Roman"/>
          <w:sz w:val="24"/>
          <w:szCs w:val="24"/>
          <w:lang w:val="es-ES_tradnl" w:eastAsia="es-ES"/>
        </w:rPr>
        <w:t xml:space="preserve"> and </w:t>
      </w:r>
      <w:proofErr w:type="spellStart"/>
      <w:r w:rsidRPr="009E1104">
        <w:rPr>
          <w:rFonts w:ascii="Times New Roman" w:eastAsia="Times New Roman" w:hAnsi="Times New Roman"/>
          <w:sz w:val="24"/>
          <w:szCs w:val="24"/>
          <w:lang w:val="es-ES_tradnl" w:eastAsia="es-ES"/>
        </w:rPr>
        <w:t>signaling</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biochemical</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mediators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that</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disintegrate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the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mass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which</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is</w:t>
      </w:r>
      <w:proofErr w:type="spellEnd"/>
      <w:r w:rsidRPr="009E1104">
        <w:rPr>
          <w:rFonts w:ascii="Times New Roman" w:eastAsia="Times New Roman" w:hAnsi="Times New Roman"/>
          <w:sz w:val="24"/>
          <w:szCs w:val="24"/>
          <w:lang w:val="es-ES_tradnl" w:eastAsia="es-ES"/>
        </w:rPr>
        <w:t xml:space="preserve"> removed </w:t>
      </w:r>
      <w:proofErr w:type="spellStart"/>
      <w:r w:rsidRPr="009E1104">
        <w:rPr>
          <w:rFonts w:ascii="Times New Roman" w:eastAsia="Times New Roman" w:hAnsi="Times New Roman"/>
          <w:sz w:val="24"/>
          <w:szCs w:val="24"/>
          <w:lang w:val="es-ES_tradnl" w:eastAsia="es-ES"/>
        </w:rPr>
        <w:t>by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osteoclasts</w:t>
      </w:r>
      <w:proofErr w:type="spellEnd"/>
      <w:r w:rsidRPr="009E1104">
        <w:rPr>
          <w:rFonts w:ascii="Times New Roman" w:eastAsia="Times New Roman" w:hAnsi="Times New Roman"/>
          <w:sz w:val="24"/>
          <w:szCs w:val="24"/>
          <w:lang w:val="es-ES_tradnl" w:eastAsia="es-ES"/>
        </w:rPr>
        <w:t xml:space="preserve">, and 2)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formation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osteoblasts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rebuild</w:t>
      </w:r>
      <w:r w:rsidR="00AB63A7">
        <w:rPr>
          <w:rFonts w:ascii="Times New Roman" w:eastAsia="Times New Roman" w:hAnsi="Times New Roman"/>
          <w:sz w:val="24"/>
          <w:szCs w:val="24"/>
          <w:lang w:val="es-ES_tradnl" w:eastAsia="es-ES"/>
        </w:rPr>
        <w:t>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the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damage</w:t>
      </w:r>
      <w:proofErr w:type="spellEnd"/>
      <w:r w:rsidRPr="009E1104">
        <w:rPr>
          <w:rFonts w:ascii="Times New Roman" w:eastAsia="Times New Roman" w:hAnsi="Times New Roman"/>
          <w:sz w:val="24"/>
          <w:szCs w:val="24"/>
          <w:lang w:val="es-ES_tradnl" w:eastAsia="es-ES"/>
        </w:rPr>
        <w:t xml:space="preserve"> done </w:t>
      </w:r>
      <w:proofErr w:type="spellStart"/>
      <w:r w:rsidRPr="009E1104">
        <w:rPr>
          <w:rFonts w:ascii="Times New Roman" w:eastAsia="Times New Roman" w:hAnsi="Times New Roman"/>
          <w:sz w:val="24"/>
          <w:szCs w:val="24"/>
          <w:lang w:val="es-ES_tradnl" w:eastAsia="es-ES"/>
        </w:rPr>
        <w:t>by</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osteoclasts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depositing</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collagen</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calcium</w:t>
      </w:r>
      <w:proofErr w:type="spellEnd"/>
      <w:r w:rsidR="00AB63A7">
        <w:rPr>
          <w:rFonts w:ascii="Times New Roman" w:eastAsia="Times New Roman" w:hAnsi="Times New Roman"/>
          <w:sz w:val="24"/>
          <w:szCs w:val="24"/>
          <w:lang w:val="es-ES_tradnl" w:eastAsia="es-ES"/>
        </w:rPr>
        <w:t>,</w:t>
      </w:r>
      <w:r w:rsidRPr="009E1104">
        <w:rPr>
          <w:rFonts w:ascii="Times New Roman" w:eastAsia="Times New Roman" w:hAnsi="Times New Roman"/>
          <w:sz w:val="24"/>
          <w:szCs w:val="24"/>
          <w:lang w:val="es-ES_tradnl" w:eastAsia="es-ES"/>
        </w:rPr>
        <w:t xml:space="preserve"> and </w:t>
      </w:r>
      <w:proofErr w:type="spellStart"/>
      <w:r w:rsidRPr="009E1104">
        <w:rPr>
          <w:rFonts w:ascii="Times New Roman" w:eastAsia="Times New Roman" w:hAnsi="Times New Roman"/>
          <w:sz w:val="24"/>
          <w:szCs w:val="24"/>
          <w:lang w:val="es-ES_tradnl" w:eastAsia="es-ES"/>
        </w:rPr>
        <w:t>phosphorus</w:t>
      </w:r>
      <w:proofErr w:type="spellEnd"/>
      <w:r w:rsidRPr="009E1104">
        <w:rPr>
          <w:rFonts w:ascii="Times New Roman" w:eastAsia="Times New Roman" w:hAnsi="Times New Roman"/>
          <w:sz w:val="24"/>
          <w:szCs w:val="24"/>
          <w:lang w:val="es-ES_tradnl" w:eastAsia="es-ES"/>
        </w:rPr>
        <w:t xml:space="preserve"> back </w:t>
      </w:r>
      <w:proofErr w:type="spellStart"/>
      <w:r w:rsidRPr="009E1104">
        <w:rPr>
          <w:rFonts w:ascii="Times New Roman" w:eastAsia="Times New Roman" w:hAnsi="Times New Roman"/>
          <w:sz w:val="24"/>
          <w:szCs w:val="24"/>
          <w:lang w:val="es-ES_tradnl" w:eastAsia="es-ES"/>
        </w:rPr>
        <w:t>into</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the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matrix</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just</w:t>
      </w:r>
      <w:proofErr w:type="spellEnd"/>
      <w:r w:rsidRPr="009E1104">
        <w:rPr>
          <w:rFonts w:ascii="Times New Roman" w:eastAsia="Times New Roman" w:hAnsi="Times New Roman"/>
          <w:sz w:val="24"/>
          <w:szCs w:val="24"/>
          <w:lang w:val="es-ES_tradnl" w:eastAsia="es-ES"/>
        </w:rPr>
        <w:t xml:space="preserve"> as </w:t>
      </w:r>
      <w:proofErr w:type="spellStart"/>
      <w:r w:rsidRPr="009E1104">
        <w:rPr>
          <w:rFonts w:ascii="Times New Roman" w:eastAsia="Times New Roman" w:hAnsi="Times New Roman"/>
          <w:sz w:val="24"/>
          <w:szCs w:val="24"/>
          <w:lang w:val="es-ES_tradnl" w:eastAsia="es-ES"/>
        </w:rPr>
        <w:t>the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process</w:t>
      </w:r>
      <w:proofErr w:type="spellEnd"/>
      <w:r w:rsidRPr="009E1104">
        <w:rPr>
          <w:rFonts w:ascii="Times New Roman" w:eastAsia="Times New Roman" w:hAnsi="Times New Roman"/>
          <w:sz w:val="24"/>
          <w:szCs w:val="24"/>
          <w:lang w:val="es-ES_tradnl" w:eastAsia="es-ES"/>
        </w:rPr>
        <w:t xml:space="preserve"> of </w:t>
      </w:r>
      <w:r w:rsidR="00AB63A7">
        <w:rPr>
          <w:rFonts w:ascii="Times New Roman" w:eastAsia="Times New Roman" w:hAnsi="Times New Roman"/>
          <w:sz w:val="24"/>
          <w:szCs w:val="24"/>
          <w:lang w:val="es-ES_tradnl" w:eastAsia="es-ES"/>
        </w:rPr>
        <w:t>“</w:t>
      </w:r>
      <w:proofErr w:type="spellStart"/>
      <w:r w:rsidRPr="009E1104">
        <w:rPr>
          <w:rFonts w:ascii="Times New Roman" w:eastAsia="Times New Roman" w:hAnsi="Times New Roman"/>
          <w:sz w:val="24"/>
          <w:szCs w:val="24"/>
          <w:lang w:val="es-ES_tradnl" w:eastAsia="es-ES"/>
        </w:rPr>
        <w:t>bone</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remodeling</w:t>
      </w:r>
      <w:proofErr w:type="spellEnd"/>
      <w:r w:rsidR="00AB63A7">
        <w:rPr>
          <w:rFonts w:ascii="Times New Roman" w:eastAsia="Times New Roman" w:hAnsi="Times New Roman"/>
          <w:sz w:val="24"/>
          <w:szCs w:val="24"/>
          <w:lang w:val="es-ES_tradnl" w:eastAsia="es-ES"/>
        </w:rPr>
        <w:t>”</w:t>
      </w:r>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occurs</w:t>
      </w:r>
      <w:proofErr w:type="spellEnd"/>
      <w:r w:rsidRPr="009E1104">
        <w:rPr>
          <w:rFonts w:ascii="Times New Roman" w:eastAsia="Times New Roman" w:hAnsi="Times New Roman"/>
          <w:sz w:val="24"/>
          <w:szCs w:val="24"/>
          <w:lang w:val="es-ES_tradnl" w:eastAsia="es-ES"/>
        </w:rPr>
        <w:t xml:space="preserve"> </w:t>
      </w:r>
      <w:proofErr w:type="spellStart"/>
      <w:r w:rsidRPr="009E1104">
        <w:rPr>
          <w:rFonts w:ascii="Times New Roman" w:eastAsia="Times New Roman" w:hAnsi="Times New Roman"/>
          <w:sz w:val="24"/>
          <w:szCs w:val="24"/>
          <w:lang w:val="es-ES_tradnl" w:eastAsia="es-ES"/>
        </w:rPr>
        <w:t>permanently</w:t>
      </w:r>
      <w:proofErr w:type="spellEnd"/>
      <w:r>
        <w:rPr>
          <w:rFonts w:ascii="Times New Roman" w:eastAsia="Times New Roman" w:hAnsi="Times New Roman"/>
          <w:sz w:val="24"/>
          <w:szCs w:val="24"/>
          <w:lang w:val="es-ES_tradnl" w:eastAsia="es-ES"/>
        </w:rPr>
        <w:t>.</w:t>
      </w:r>
      <w:r w:rsidR="00AB63A7">
        <w:rPr>
          <w:rFonts w:ascii="Times New Roman" w:eastAsia="Times New Roman" w:hAnsi="Times New Roman"/>
          <w:sz w:val="24"/>
          <w:szCs w:val="24"/>
          <w:lang w:val="es-ES_tradnl" w:eastAsia="es-ES"/>
        </w:rPr>
        <w:t xml:space="preserve"> </w:t>
      </w:r>
      <w:r w:rsidR="005C3630" w:rsidRPr="002647F1">
        <w:rPr>
          <w:rFonts w:ascii="Times New Roman" w:eastAsia="Times New Roman" w:hAnsi="Times New Roman"/>
          <w:sz w:val="24"/>
          <w:szCs w:val="24"/>
          <w:lang w:val="es-ES_tradnl" w:eastAsia="es-PE"/>
        </w:rPr>
        <w:fldChar w:fldCharType="begin"/>
      </w:r>
      <w:r w:rsidR="005C3630" w:rsidRPr="002647F1">
        <w:rPr>
          <w:rFonts w:ascii="Times New Roman" w:eastAsia="Times New Roman" w:hAnsi="Times New Roman"/>
          <w:sz w:val="24"/>
          <w:szCs w:val="24"/>
          <w:lang w:val="es-ES_tradnl"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5C3630" w:rsidRPr="002647F1">
        <w:rPr>
          <w:rFonts w:ascii="Times New Roman" w:eastAsia="Times New Roman" w:hAnsi="Times New Roman"/>
          <w:sz w:val="24"/>
          <w:szCs w:val="24"/>
          <w:lang w:val="es-ES_tradnl" w:eastAsia="es-PE"/>
        </w:rPr>
        <w:fldChar w:fldCharType="separate"/>
      </w:r>
      <w:r w:rsidR="005C3630" w:rsidRPr="002647F1">
        <w:rPr>
          <w:rFonts w:ascii="Times New Roman" w:eastAsia="Times New Roman" w:hAnsi="Times New Roman"/>
          <w:noProof/>
          <w:sz w:val="24"/>
          <w:szCs w:val="24"/>
          <w:vertAlign w:val="superscript"/>
          <w:lang w:val="es-ES_tradnl" w:eastAsia="es-PE"/>
        </w:rPr>
        <w:t>(</w:t>
      </w:r>
      <w:r w:rsidR="005C3630">
        <w:rPr>
          <w:rFonts w:ascii="Times New Roman" w:eastAsia="Times New Roman" w:hAnsi="Times New Roman"/>
          <w:noProof/>
          <w:sz w:val="24"/>
          <w:szCs w:val="24"/>
          <w:vertAlign w:val="superscript"/>
          <w:lang w:val="es-ES_tradnl" w:eastAsia="es-PE"/>
        </w:rPr>
        <w:t>11</w:t>
      </w:r>
      <w:r w:rsidR="005C3630" w:rsidRPr="002647F1">
        <w:rPr>
          <w:rFonts w:ascii="Times New Roman" w:eastAsia="Times New Roman" w:hAnsi="Times New Roman"/>
          <w:noProof/>
          <w:sz w:val="24"/>
          <w:szCs w:val="24"/>
          <w:vertAlign w:val="superscript"/>
          <w:lang w:val="es-ES_tradnl" w:eastAsia="es-PE"/>
        </w:rPr>
        <w:t>)</w:t>
      </w:r>
      <w:r w:rsidR="005C3630" w:rsidRPr="002647F1">
        <w:rPr>
          <w:rFonts w:ascii="Times New Roman" w:eastAsia="Times New Roman" w:hAnsi="Times New Roman"/>
          <w:sz w:val="24"/>
          <w:szCs w:val="24"/>
          <w:lang w:val="es-ES_tradnl" w:eastAsia="es-PE"/>
        </w:rPr>
        <w:fldChar w:fldCharType="end"/>
      </w:r>
      <w:r w:rsidR="005C3630" w:rsidRPr="000B24F5">
        <w:rPr>
          <w:rFonts w:ascii="Times New Roman" w:eastAsia="Times New Roman" w:hAnsi="Times New Roman"/>
          <w:color w:val="C00000"/>
          <w:sz w:val="24"/>
          <w:szCs w:val="24"/>
          <w:lang w:val="es-ES_tradnl" w:eastAsia="es-PE"/>
        </w:rPr>
        <w:t xml:space="preserve"> </w:t>
      </w:r>
      <w:r w:rsidR="002647F1" w:rsidRPr="002647F1">
        <w:rPr>
          <w:rFonts w:ascii="Times New Roman" w:eastAsia="Times New Roman" w:hAnsi="Times New Roman"/>
          <w:sz w:val="24"/>
          <w:szCs w:val="24"/>
          <w:lang w:val="es-ES_tradnl" w:eastAsia="es-ES"/>
        </w:rPr>
        <w:t xml:space="preserve"> </w:t>
      </w:r>
    </w:p>
    <w:p w14:paraId="39BB444B" w14:textId="77777777" w:rsidR="002647F1" w:rsidRPr="002647F1" w:rsidRDefault="002647F1" w:rsidP="00E929D5">
      <w:pPr>
        <w:spacing w:after="0" w:line="360" w:lineRule="auto"/>
        <w:ind w:firstLine="425"/>
        <w:rPr>
          <w:rFonts w:ascii="Times New Roman" w:eastAsia="Times New Roman" w:hAnsi="Times New Roman"/>
          <w:sz w:val="24"/>
          <w:szCs w:val="24"/>
          <w:lang w:val="es-ES_tradnl" w:eastAsia="es-PE"/>
        </w:rPr>
      </w:pPr>
    </w:p>
    <w:p w14:paraId="6037D4F9" w14:textId="7E15E10A" w:rsidR="002647F1" w:rsidRPr="002647F1" w:rsidRDefault="009E1104" w:rsidP="00E929D5">
      <w:pPr>
        <w:spacing w:after="0" w:line="360" w:lineRule="auto"/>
        <w:ind w:firstLine="425"/>
        <w:jc w:val="both"/>
        <w:rPr>
          <w:rFonts w:ascii="Times New Roman" w:eastAsia="Times New Roman" w:hAnsi="Times New Roman"/>
          <w:sz w:val="24"/>
          <w:szCs w:val="24"/>
          <w:lang w:val="es-ES_tradnl" w:eastAsia="es-PE"/>
        </w:rPr>
      </w:pPr>
      <w:proofErr w:type="spellStart"/>
      <w:r w:rsidRPr="009E1104">
        <w:rPr>
          <w:rFonts w:ascii="Times New Roman" w:eastAsia="Times New Roman" w:hAnsi="Times New Roman"/>
          <w:sz w:val="24"/>
          <w:szCs w:val="24"/>
          <w:lang w:val="es-ES_tradnl" w:eastAsia="es-PE"/>
        </w:rPr>
        <w:t>From</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childhood</w:t>
      </w:r>
      <w:proofErr w:type="spellEnd"/>
      <w:r w:rsidRPr="009E1104">
        <w:rPr>
          <w:rFonts w:ascii="Times New Roman" w:eastAsia="Times New Roman" w:hAnsi="Times New Roman"/>
          <w:sz w:val="24"/>
          <w:szCs w:val="24"/>
          <w:lang w:val="es-ES_tradnl" w:eastAsia="es-PE"/>
        </w:rPr>
        <w:t xml:space="preserve"> to 20 </w:t>
      </w:r>
      <w:proofErr w:type="spellStart"/>
      <w:r w:rsidRPr="009E1104">
        <w:rPr>
          <w:rFonts w:ascii="Times New Roman" w:eastAsia="Times New Roman" w:hAnsi="Times New Roman"/>
          <w:sz w:val="24"/>
          <w:szCs w:val="24"/>
          <w:lang w:val="es-ES_tradnl" w:eastAsia="es-PE"/>
        </w:rPr>
        <w:t>years</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age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formation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greater</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than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resorption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allowing</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growth</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development</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skeleton</w:t>
      </w:r>
      <w:proofErr w:type="spellEnd"/>
      <w:r w:rsidRPr="009E1104">
        <w:rPr>
          <w:rFonts w:ascii="Times New Roman" w:eastAsia="Times New Roman" w:hAnsi="Times New Roman"/>
          <w:sz w:val="24"/>
          <w:szCs w:val="24"/>
          <w:lang w:val="es-ES_tradnl" w:eastAsia="es-PE"/>
        </w:rPr>
        <w:t xml:space="preserve">. In </w:t>
      </w:r>
      <w:proofErr w:type="spellStart"/>
      <w:r w:rsidRPr="009E1104">
        <w:rPr>
          <w:rFonts w:ascii="Times New Roman" w:eastAsia="Times New Roman" w:hAnsi="Times New Roman"/>
          <w:sz w:val="24"/>
          <w:szCs w:val="24"/>
          <w:lang w:val="es-ES_tradnl" w:eastAsia="es-PE"/>
        </w:rPr>
        <w:t>adulthood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formation</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resorption</w:t>
      </w:r>
      <w:proofErr w:type="spellEnd"/>
      <w:r w:rsidRPr="009E1104">
        <w:rPr>
          <w:rFonts w:ascii="Times New Roman" w:eastAsia="Times New Roman" w:hAnsi="Times New Roman"/>
          <w:sz w:val="24"/>
          <w:szCs w:val="24"/>
          <w:lang w:val="es-ES_tradnl" w:eastAsia="es-PE"/>
        </w:rPr>
        <w:t xml:space="preserve"> are in </w:t>
      </w:r>
      <w:r w:rsidRPr="009E1104">
        <w:rPr>
          <w:rFonts w:ascii="Times New Roman" w:eastAsia="Times New Roman" w:hAnsi="Times New Roman"/>
          <w:sz w:val="24"/>
          <w:szCs w:val="24"/>
          <w:lang w:val="es-ES_tradnl" w:eastAsia="es-PE"/>
        </w:rPr>
        <w:lastRenderedPageBreak/>
        <w:t xml:space="preserve">homeostasis, in </w:t>
      </w:r>
      <w:proofErr w:type="spellStart"/>
      <w:r w:rsidRPr="009E1104">
        <w:rPr>
          <w:rFonts w:ascii="Times New Roman" w:eastAsia="Times New Roman" w:hAnsi="Times New Roman"/>
          <w:sz w:val="24"/>
          <w:szCs w:val="24"/>
          <w:lang w:val="es-ES_tradnl" w:eastAsia="es-PE"/>
        </w:rPr>
        <w:t>people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over</w:t>
      </w:r>
      <w:proofErr w:type="spellEnd"/>
      <w:r w:rsidRPr="009E1104">
        <w:rPr>
          <w:rFonts w:ascii="Times New Roman" w:eastAsia="Times New Roman" w:hAnsi="Times New Roman"/>
          <w:sz w:val="24"/>
          <w:szCs w:val="24"/>
          <w:lang w:val="es-ES_tradnl" w:eastAsia="es-PE"/>
        </w:rPr>
        <w:t xml:space="preserve"> 50 </w:t>
      </w:r>
      <w:proofErr w:type="spellStart"/>
      <w:r w:rsidRPr="009E1104">
        <w:rPr>
          <w:rFonts w:ascii="Times New Roman" w:eastAsia="Times New Roman" w:hAnsi="Times New Roman"/>
          <w:sz w:val="24"/>
          <w:szCs w:val="24"/>
          <w:lang w:val="es-ES_tradnl" w:eastAsia="es-PE"/>
        </w:rPr>
        <w:t>years</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age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resorption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higher</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with</w:t>
      </w:r>
      <w:proofErr w:type="spellEnd"/>
      <w:r w:rsidRPr="009E1104">
        <w:rPr>
          <w:rFonts w:ascii="Times New Roman" w:eastAsia="Times New Roman" w:hAnsi="Times New Roman"/>
          <w:sz w:val="24"/>
          <w:szCs w:val="24"/>
          <w:lang w:val="es-ES_tradnl" w:eastAsia="es-PE"/>
        </w:rPr>
        <w:t xml:space="preserve"> a </w:t>
      </w:r>
      <w:proofErr w:type="spellStart"/>
      <w:r w:rsidRPr="009E1104">
        <w:rPr>
          <w:rFonts w:ascii="Times New Roman" w:eastAsia="Times New Roman" w:hAnsi="Times New Roman"/>
          <w:sz w:val="24"/>
          <w:szCs w:val="24"/>
          <w:lang w:val="es-ES_tradnl" w:eastAsia="es-PE"/>
        </w:rPr>
        <w:t>significant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loss</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calcium</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phosphorus</w:t>
      </w:r>
      <w:proofErr w:type="spellEnd"/>
      <w:r w:rsidRPr="009E1104">
        <w:rPr>
          <w:rFonts w:ascii="Times New Roman" w:eastAsia="Times New Roman" w:hAnsi="Times New Roman"/>
          <w:sz w:val="24"/>
          <w:szCs w:val="24"/>
          <w:lang w:val="es-ES_tradnl" w:eastAsia="es-PE"/>
        </w:rPr>
        <w:t xml:space="preserve">, at </w:t>
      </w:r>
      <w:proofErr w:type="spellStart"/>
      <w:r w:rsidRPr="009E1104">
        <w:rPr>
          <w:rFonts w:ascii="Times New Roman" w:eastAsia="Times New Roman" w:hAnsi="Times New Roman"/>
          <w:sz w:val="24"/>
          <w:szCs w:val="24"/>
          <w:lang w:val="es-ES_tradnl" w:eastAsia="es-PE"/>
        </w:rPr>
        <w:t>this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age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begins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disorganization</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microarchitecture</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thinning</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trabeculae</w:t>
      </w:r>
      <w:proofErr w:type="spellEnd"/>
      <w:r w:rsidRPr="009E1104">
        <w:rPr>
          <w:rFonts w:ascii="Times New Roman" w:eastAsia="Times New Roman" w:hAnsi="Times New Roman"/>
          <w:sz w:val="24"/>
          <w:szCs w:val="24"/>
          <w:lang w:val="es-ES_tradnl" w:eastAsia="es-PE"/>
        </w:rPr>
        <w:t xml:space="preserve"> and micro</w:t>
      </w:r>
      <w:r w:rsidR="00AB63A7">
        <w:rPr>
          <w:rFonts w:ascii="Times New Roman" w:eastAsia="Times New Roman" w:hAnsi="Times New Roman"/>
          <w:sz w:val="24"/>
          <w:szCs w:val="24"/>
          <w:lang w:val="es-ES_tradnl" w:eastAsia="es-PE"/>
        </w:rPr>
        <w:t>-</w:t>
      </w:r>
      <w:r w:rsidRPr="009E1104">
        <w:rPr>
          <w:rFonts w:ascii="Times New Roman" w:eastAsia="Times New Roman" w:hAnsi="Times New Roman"/>
          <w:sz w:val="24"/>
          <w:szCs w:val="24"/>
          <w:lang w:val="es-ES_tradnl" w:eastAsia="es-PE"/>
        </w:rPr>
        <w:t xml:space="preserve">fractures as a </w:t>
      </w:r>
      <w:proofErr w:type="spellStart"/>
      <w:r w:rsidRPr="009E1104">
        <w:rPr>
          <w:rFonts w:ascii="Times New Roman" w:eastAsia="Times New Roman" w:hAnsi="Times New Roman"/>
          <w:sz w:val="24"/>
          <w:szCs w:val="24"/>
          <w:lang w:val="es-ES_tradnl" w:eastAsia="es-PE"/>
        </w:rPr>
        <w:t>result</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fragility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Remodeling</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regulated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systemic</w:t>
      </w:r>
      <w:proofErr w:type="spellEnd"/>
      <w:r w:rsidRPr="009E1104">
        <w:rPr>
          <w:rFonts w:ascii="Times New Roman" w:eastAsia="Times New Roman" w:hAnsi="Times New Roman"/>
          <w:sz w:val="24"/>
          <w:szCs w:val="24"/>
          <w:lang w:val="es-ES_tradnl" w:eastAsia="es-PE"/>
        </w:rPr>
        <w:t xml:space="preserve"> hormones and local </w:t>
      </w:r>
      <w:proofErr w:type="spellStart"/>
      <w:r w:rsidRPr="009E1104">
        <w:rPr>
          <w:rFonts w:ascii="Times New Roman" w:eastAsia="Times New Roman" w:hAnsi="Times New Roman"/>
          <w:sz w:val="24"/>
          <w:szCs w:val="24"/>
          <w:lang w:val="es-ES_tradnl" w:eastAsia="es-PE"/>
        </w:rPr>
        <w:t>factors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that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affect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osteoclast</w:t>
      </w:r>
      <w:proofErr w:type="spellEnd"/>
      <w:r w:rsidRPr="009E1104">
        <w:rPr>
          <w:rFonts w:ascii="Times New Roman" w:eastAsia="Times New Roman" w:hAnsi="Times New Roman"/>
          <w:sz w:val="24"/>
          <w:szCs w:val="24"/>
          <w:lang w:val="es-ES_tradnl" w:eastAsia="es-PE"/>
        </w:rPr>
        <w:t xml:space="preserve"> (OC) and </w:t>
      </w:r>
      <w:proofErr w:type="spellStart"/>
      <w:r w:rsidRPr="009E1104">
        <w:rPr>
          <w:rFonts w:ascii="Times New Roman" w:eastAsia="Times New Roman" w:hAnsi="Times New Roman"/>
          <w:sz w:val="24"/>
          <w:szCs w:val="24"/>
          <w:lang w:val="es-ES_tradnl" w:eastAsia="es-PE"/>
        </w:rPr>
        <w:t>osteoblast</w:t>
      </w:r>
      <w:proofErr w:type="spellEnd"/>
      <w:r w:rsidRPr="009E1104">
        <w:rPr>
          <w:rFonts w:ascii="Times New Roman" w:eastAsia="Times New Roman" w:hAnsi="Times New Roman"/>
          <w:sz w:val="24"/>
          <w:szCs w:val="24"/>
          <w:lang w:val="es-ES_tradnl" w:eastAsia="es-PE"/>
        </w:rPr>
        <w:t xml:space="preserve"> (OB) </w:t>
      </w:r>
      <w:proofErr w:type="spellStart"/>
      <w:r w:rsidRPr="009E1104">
        <w:rPr>
          <w:rFonts w:ascii="Times New Roman" w:eastAsia="Times New Roman" w:hAnsi="Times New Roman"/>
          <w:sz w:val="24"/>
          <w:szCs w:val="24"/>
          <w:lang w:val="es-ES_tradnl" w:eastAsia="es-PE"/>
        </w:rPr>
        <w:t>cell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lines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which</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depend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cell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replication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differentiation</w:t>
      </w:r>
      <w:proofErr w:type="spellEnd"/>
      <w:r w:rsidR="00AB63A7">
        <w:rPr>
          <w:rFonts w:ascii="Times New Roman" w:eastAsia="Times New Roman" w:hAnsi="Times New Roman"/>
          <w:sz w:val="24"/>
          <w:szCs w:val="24"/>
          <w:lang w:val="es-ES_tradnl" w:eastAsia="es-PE"/>
        </w:rPr>
        <w:t>,</w:t>
      </w:r>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recruitment</w:t>
      </w:r>
      <w:proofErr w:type="spellEnd"/>
      <w:r w:rsidR="00AB63A7">
        <w:rPr>
          <w:rFonts w:ascii="Times New Roman" w:eastAsia="Times New Roman" w:hAnsi="Times New Roman"/>
          <w:sz w:val="24"/>
          <w:szCs w:val="24"/>
          <w:lang w:val="es-ES_tradnl" w:eastAsia="es-PE"/>
        </w:rPr>
        <w:t xml:space="preserve">. </w:t>
      </w:r>
      <w:r w:rsidR="005C3630" w:rsidRPr="002647F1">
        <w:rPr>
          <w:rFonts w:ascii="Times New Roman" w:eastAsia="Times New Roman" w:hAnsi="Times New Roman"/>
          <w:sz w:val="24"/>
          <w:szCs w:val="24"/>
          <w:lang w:val="es-ES_tradnl" w:eastAsia="es-PE"/>
        </w:rPr>
        <w:fldChar w:fldCharType="begin"/>
      </w:r>
      <w:r w:rsidR="005C3630" w:rsidRPr="002647F1">
        <w:rPr>
          <w:rFonts w:ascii="Times New Roman" w:eastAsia="Times New Roman" w:hAnsi="Times New Roman"/>
          <w:sz w:val="24"/>
          <w:szCs w:val="24"/>
          <w:lang w:val="es-ES_tradnl" w:eastAsia="es-PE"/>
        </w:rPr>
        <w:instrText xml:space="preserve"> ADDIN EN.CITE &lt;EndNote&gt;&lt;Cite&gt;&lt;Author&gt;McCloskey&lt;/Author&gt;&lt;Year&gt;2009&lt;/Year&gt;&lt;RecNum&gt;10&lt;/RecNum&gt;&lt;DisplayText&gt;&lt;style face="superscript" font="Times New Roman"&gt;(3)&lt;/style&gt;&lt;/DisplayText&gt;&lt;record&gt;&lt;rec-number&gt;10&lt;/rec-number&gt;&lt;foreign-keys&gt;&lt;key app="EN" db-id="tdaef2xzyrd9t3e5xvops22tpspddvfxa0sv" timestamp="1578873191"&gt;10&lt;/key&gt;&lt;/foreign-keys&gt;&lt;ref-type name="Journal Article"&gt;17&lt;/ref-type&gt;&lt;contributors&gt;&lt;authors&gt;&lt;author&gt;McCloskey, FRAX&lt;/author&gt;&lt;/authors&gt;&lt;/contributors&gt;&lt;titles&gt;&lt;title&gt;Identifying people at high risk of fracture WHO Fracture Risk Assessment Tool, a new clinical tool for informed treatment decisions&lt;/title&gt;&lt;secondary-title&gt;International Osteoporosis Foundation&lt;/secondary-title&gt;&lt;/titles&gt;&lt;periodical&gt;&lt;full-title&gt;International Osteoporosis Foundation&lt;/full-title&gt;&lt;/periodical&gt;&lt;dates&gt;&lt;year&gt;2009&lt;/year&gt;&lt;/dates&gt;&lt;urls&gt;&lt;/urls&gt;&lt;/record&gt;&lt;/Cite&gt;&lt;/EndNote&gt;</w:instrText>
      </w:r>
      <w:r w:rsidR="005C3630" w:rsidRPr="002647F1">
        <w:rPr>
          <w:rFonts w:ascii="Times New Roman" w:eastAsia="Times New Roman" w:hAnsi="Times New Roman"/>
          <w:sz w:val="24"/>
          <w:szCs w:val="24"/>
          <w:lang w:val="es-ES_tradnl" w:eastAsia="es-PE"/>
        </w:rPr>
        <w:fldChar w:fldCharType="separate"/>
      </w:r>
      <w:r w:rsidR="005C3630">
        <w:rPr>
          <w:rFonts w:ascii="Times New Roman" w:eastAsia="Times New Roman" w:hAnsi="Times New Roman"/>
          <w:noProof/>
          <w:sz w:val="24"/>
          <w:szCs w:val="24"/>
          <w:vertAlign w:val="superscript"/>
          <w:lang w:val="es-ES_tradnl" w:eastAsia="es-PE"/>
        </w:rPr>
        <w:t>(5</w:t>
      </w:r>
      <w:r w:rsidR="005C3630" w:rsidRPr="002647F1">
        <w:rPr>
          <w:rFonts w:ascii="Times New Roman" w:eastAsia="Times New Roman" w:hAnsi="Times New Roman"/>
          <w:noProof/>
          <w:sz w:val="24"/>
          <w:szCs w:val="24"/>
          <w:vertAlign w:val="superscript"/>
          <w:lang w:val="es-ES_tradnl" w:eastAsia="es-PE"/>
        </w:rPr>
        <w:t>)</w:t>
      </w:r>
      <w:r w:rsidR="005C3630" w:rsidRPr="002647F1">
        <w:rPr>
          <w:rFonts w:ascii="Times New Roman" w:eastAsia="Times New Roman" w:hAnsi="Times New Roman"/>
          <w:sz w:val="24"/>
          <w:szCs w:val="24"/>
          <w:lang w:val="es-ES_tradnl" w:eastAsia="es-PE"/>
        </w:rPr>
        <w:fldChar w:fldCharType="end"/>
      </w:r>
      <w:r w:rsidR="002647F1" w:rsidRPr="002647F1">
        <w:rPr>
          <w:rFonts w:ascii="Times New Roman" w:eastAsia="Times New Roman" w:hAnsi="Times New Roman"/>
          <w:sz w:val="24"/>
          <w:szCs w:val="24"/>
          <w:lang w:val="es-ES_tradnl" w:eastAsia="es-PE"/>
        </w:rPr>
        <w:t xml:space="preserve"> </w:t>
      </w:r>
    </w:p>
    <w:p w14:paraId="58F24B98" w14:textId="77777777" w:rsidR="002647F1" w:rsidRPr="002647F1" w:rsidRDefault="002647F1" w:rsidP="00E929D5">
      <w:pPr>
        <w:spacing w:after="0" w:line="360" w:lineRule="auto"/>
        <w:ind w:firstLine="425"/>
        <w:rPr>
          <w:rFonts w:ascii="Times New Roman" w:eastAsia="Times New Roman" w:hAnsi="Times New Roman"/>
          <w:sz w:val="24"/>
          <w:szCs w:val="24"/>
          <w:highlight w:val="yellow"/>
          <w:lang w:val="es-ES_tradnl" w:eastAsia="es-PE"/>
        </w:rPr>
      </w:pPr>
    </w:p>
    <w:p w14:paraId="624AD8B7" w14:textId="724EA96E" w:rsidR="002647F1" w:rsidRPr="002647F1" w:rsidRDefault="009E1104" w:rsidP="00E929D5">
      <w:pPr>
        <w:spacing w:after="0" w:line="360" w:lineRule="auto"/>
        <w:ind w:firstLine="425"/>
        <w:jc w:val="both"/>
        <w:rPr>
          <w:rFonts w:ascii="Times New Roman" w:eastAsia="Times New Roman" w:hAnsi="Times New Roman"/>
          <w:sz w:val="24"/>
          <w:szCs w:val="24"/>
          <w:lang w:val="es-ES_tradnl" w:eastAsia="es-PE"/>
        </w:rPr>
      </w:pP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initially</w:t>
      </w:r>
      <w:proofErr w:type="spellEnd"/>
      <w:r w:rsidRPr="009E1104">
        <w:rPr>
          <w:rFonts w:ascii="Times New Roman" w:eastAsia="Times New Roman" w:hAnsi="Times New Roman"/>
          <w:sz w:val="24"/>
          <w:szCs w:val="24"/>
          <w:lang w:val="es-ES_tradnl" w:eastAsia="es-PE"/>
        </w:rPr>
        <w:t xml:space="preserve"> at </w:t>
      </w:r>
      <w:proofErr w:type="spellStart"/>
      <w:r w:rsidRPr="009E1104">
        <w:rPr>
          <w:rFonts w:ascii="Times New Roman" w:eastAsia="Times New Roman" w:hAnsi="Times New Roman"/>
          <w:sz w:val="24"/>
          <w:szCs w:val="24"/>
          <w:lang w:val="es-ES_tradnl" w:eastAsia="es-PE"/>
        </w:rPr>
        <w:t>rest</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stimulated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by</w:t>
      </w:r>
      <w:proofErr w:type="spellEnd"/>
      <w:r w:rsidRPr="009E1104">
        <w:rPr>
          <w:rFonts w:ascii="Times New Roman" w:eastAsia="Times New Roman" w:hAnsi="Times New Roman"/>
          <w:sz w:val="24"/>
          <w:szCs w:val="24"/>
          <w:lang w:val="es-ES_tradnl" w:eastAsia="es-PE"/>
        </w:rPr>
        <w:t xml:space="preserve"> hormonal and </w:t>
      </w:r>
      <w:proofErr w:type="spellStart"/>
      <w:r w:rsidRPr="009E1104">
        <w:rPr>
          <w:rFonts w:ascii="Times New Roman" w:eastAsia="Times New Roman" w:hAnsi="Times New Roman"/>
          <w:sz w:val="24"/>
          <w:szCs w:val="24"/>
          <w:lang w:val="es-ES_tradnl" w:eastAsia="es-PE"/>
        </w:rPr>
        <w:t>mechanical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factors</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activated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by</w:t>
      </w:r>
      <w:proofErr w:type="spellEnd"/>
      <w:r w:rsidRPr="009E1104">
        <w:rPr>
          <w:rFonts w:ascii="Times New Roman" w:eastAsia="Times New Roman" w:hAnsi="Times New Roman"/>
          <w:sz w:val="24"/>
          <w:szCs w:val="24"/>
          <w:lang w:val="es-ES_tradnl" w:eastAsia="es-PE"/>
        </w:rPr>
        <w:t xml:space="preserve"> pre-</w:t>
      </w:r>
      <w:proofErr w:type="spellStart"/>
      <w:r w:rsidRPr="009E1104">
        <w:rPr>
          <w:rFonts w:ascii="Times New Roman" w:eastAsia="Times New Roman" w:hAnsi="Times New Roman"/>
          <w:sz w:val="24"/>
          <w:szCs w:val="24"/>
          <w:lang w:val="es-ES_tradnl" w:eastAsia="es-PE"/>
        </w:rPr>
        <w:t>osteoclasts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which</w:t>
      </w:r>
      <w:proofErr w:type="spellEnd"/>
      <w:r w:rsidRPr="009E1104">
        <w:rPr>
          <w:rFonts w:ascii="Times New Roman" w:eastAsia="Times New Roman" w:hAnsi="Times New Roman"/>
          <w:sz w:val="24"/>
          <w:szCs w:val="24"/>
          <w:lang w:val="es-ES_tradnl" w:eastAsia="es-PE"/>
        </w:rPr>
        <w:t xml:space="preserve"> are </w:t>
      </w:r>
      <w:proofErr w:type="spellStart"/>
      <w:r w:rsidRPr="009E1104">
        <w:rPr>
          <w:rFonts w:ascii="Times New Roman" w:eastAsia="Times New Roman" w:hAnsi="Times New Roman"/>
          <w:sz w:val="24"/>
          <w:szCs w:val="24"/>
          <w:lang w:val="es-ES_tradnl" w:eastAsia="es-PE"/>
        </w:rPr>
        <w:t>fed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blood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circulation</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then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converted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into</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osteoclasts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Likewise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tissue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with</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good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development</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stay</w:t>
      </w:r>
      <w:r w:rsidR="00AB63A7">
        <w:rPr>
          <w:rFonts w:ascii="Times New Roman" w:eastAsia="Times New Roman" w:hAnsi="Times New Roman"/>
          <w:sz w:val="24"/>
          <w:szCs w:val="24"/>
          <w:lang w:val="es-ES_tradnl" w:eastAsia="es-PE"/>
        </w:rPr>
        <w:t>ing</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healthy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requires</w:t>
      </w:r>
      <w:proofErr w:type="spellEnd"/>
      <w:r w:rsidRPr="009E1104">
        <w:rPr>
          <w:rFonts w:ascii="Times New Roman" w:eastAsia="Times New Roman" w:hAnsi="Times New Roman"/>
          <w:sz w:val="24"/>
          <w:szCs w:val="24"/>
          <w:lang w:val="es-ES_tradnl" w:eastAsia="es-PE"/>
        </w:rPr>
        <w:t xml:space="preserve"> a </w:t>
      </w:r>
      <w:proofErr w:type="spellStart"/>
      <w:r w:rsidRPr="009E1104">
        <w:rPr>
          <w:rFonts w:ascii="Times New Roman" w:eastAsia="Times New Roman" w:hAnsi="Times New Roman"/>
          <w:sz w:val="24"/>
          <w:szCs w:val="24"/>
          <w:lang w:val="es-ES_tradnl" w:eastAsia="es-PE"/>
        </w:rPr>
        <w:t>diet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based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protein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calcium</w:t>
      </w:r>
      <w:proofErr w:type="spellEnd"/>
      <w:r w:rsidR="00AB63A7">
        <w:rPr>
          <w:rFonts w:ascii="Times New Roman" w:eastAsia="Times New Roman" w:hAnsi="Times New Roman"/>
          <w:sz w:val="24"/>
          <w:szCs w:val="24"/>
          <w:lang w:val="es-ES_tradnl" w:eastAsia="es-PE"/>
        </w:rPr>
        <w:t>,</w:t>
      </w:r>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phosphorus</w:t>
      </w:r>
      <w:proofErr w:type="spellEnd"/>
      <w:r w:rsidRPr="009E1104">
        <w:rPr>
          <w:rFonts w:ascii="Times New Roman" w:eastAsia="Times New Roman" w:hAnsi="Times New Roman"/>
          <w:sz w:val="24"/>
          <w:szCs w:val="24"/>
          <w:lang w:val="es-ES_tradnl" w:eastAsia="es-PE"/>
        </w:rPr>
        <w:t xml:space="preserve">, as </w:t>
      </w:r>
      <w:proofErr w:type="spellStart"/>
      <w:r w:rsidRPr="009E1104">
        <w:rPr>
          <w:rFonts w:ascii="Times New Roman" w:eastAsia="Times New Roman" w:hAnsi="Times New Roman"/>
          <w:sz w:val="24"/>
          <w:szCs w:val="24"/>
          <w:lang w:val="es-ES_tradnl" w:eastAsia="es-PE"/>
        </w:rPr>
        <w:t>well</w:t>
      </w:r>
      <w:proofErr w:type="spellEnd"/>
      <w:r w:rsidRPr="009E1104">
        <w:rPr>
          <w:rFonts w:ascii="Times New Roman" w:eastAsia="Times New Roman" w:hAnsi="Times New Roman"/>
          <w:sz w:val="24"/>
          <w:szCs w:val="24"/>
          <w:lang w:val="es-ES_tradnl" w:eastAsia="es-PE"/>
        </w:rPr>
        <w:t xml:space="preserve"> as intense </w:t>
      </w:r>
      <w:proofErr w:type="spellStart"/>
      <w:r w:rsidRPr="009E1104">
        <w:rPr>
          <w:rFonts w:ascii="Times New Roman" w:eastAsia="Times New Roman" w:hAnsi="Times New Roman"/>
          <w:sz w:val="24"/>
          <w:szCs w:val="24"/>
          <w:lang w:val="es-ES_tradnl" w:eastAsia="es-PE"/>
        </w:rPr>
        <w:t>physical</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activity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among</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other</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healthy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lifestyles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according</w:t>
      </w:r>
      <w:proofErr w:type="spellEnd"/>
      <w:r w:rsidRPr="009E1104">
        <w:rPr>
          <w:rFonts w:ascii="Times New Roman" w:eastAsia="Times New Roman" w:hAnsi="Times New Roman"/>
          <w:sz w:val="24"/>
          <w:szCs w:val="24"/>
          <w:lang w:val="es-ES_tradnl" w:eastAsia="es-PE"/>
        </w:rPr>
        <w:t xml:space="preserve"> to Rosen</w:t>
      </w:r>
      <w:r w:rsidR="00AB63A7">
        <w:rPr>
          <w:rFonts w:ascii="Times New Roman" w:eastAsia="Times New Roman" w:hAnsi="Times New Roman"/>
          <w:sz w:val="24"/>
          <w:szCs w:val="24"/>
          <w:lang w:val="es-ES_tradnl" w:eastAsia="es-PE"/>
        </w:rPr>
        <w:t xml:space="preserve">. </w:t>
      </w:r>
      <w:r w:rsidR="002647F1" w:rsidRPr="002647F1">
        <w:rPr>
          <w:rFonts w:ascii="Times New Roman" w:eastAsia="Times New Roman" w:hAnsi="Times New Roman"/>
          <w:sz w:val="24"/>
          <w:szCs w:val="24"/>
          <w:lang w:val="es-ES_tradnl" w:eastAsia="es-PE"/>
        </w:rPr>
        <w:fldChar w:fldCharType="begin"/>
      </w:r>
      <w:r w:rsidR="002647F1" w:rsidRPr="002647F1">
        <w:rPr>
          <w:rFonts w:ascii="Times New Roman" w:eastAsia="Times New Roman" w:hAnsi="Times New Roman"/>
          <w:sz w:val="24"/>
          <w:szCs w:val="24"/>
          <w:lang w:val="es-ES_tradnl" w:eastAsia="es-PE"/>
        </w:rPr>
        <w:instrText xml:space="preserve"> ADDIN EN.CITE &lt;EndNote&gt;&lt;Cite&gt;&lt;Author&gt;Rosen&lt;/Author&gt;&lt;Year&gt;2005&lt;/Year&gt;&lt;RecNum&gt;17&lt;/RecNum&gt;&lt;DisplayText&gt;&lt;style face="superscript" font="Times New Roman"&gt;(9)&lt;/style&gt;&lt;/DisplayText&gt;&lt;record&gt;&lt;rec-number&gt;17&lt;/rec-number&gt;&lt;foreign-keys&gt;&lt;key app="EN" db-id="tdaef2xzyrd9t3e5xvops22tpspddvfxa0sv" timestamp="1578876891"&gt;17&lt;/key&gt;&lt;/foreign-keys&gt;&lt;ref-type name="Journal Article"&gt;17&lt;/ref-type&gt;&lt;contributors&gt;&lt;authors&gt;&lt;author&gt;Rosen, Clifford J&lt;/author&gt;&lt;/authors&gt;&lt;/contributors&gt;&lt;titles&gt;&lt;title&gt;Postmenopausal osteoporosis&lt;/title&gt;&lt;secondary-title&gt;New England Journal of Medicine&lt;/secondary-title&gt;&lt;/titles&gt;&lt;periodical&gt;&lt;full-title&gt;New England Journal of Medicine&lt;/full-title&gt;&lt;/periodical&gt;&lt;pages&gt;595-603&lt;/pages&gt;&lt;volume&gt;353&lt;/volume&gt;&lt;number&gt;6&lt;/number&gt;&lt;dates&gt;&lt;year&gt;2005&lt;/year&gt;&lt;/dates&gt;&lt;isbn&gt;0028-4793&lt;/isbn&gt;&lt;urls&gt;&lt;/urls&gt;&lt;/record&gt;&lt;/Cite&gt;&lt;/EndNote&gt;</w:instrText>
      </w:r>
      <w:r w:rsidR="002647F1" w:rsidRPr="002647F1">
        <w:rPr>
          <w:rFonts w:ascii="Times New Roman" w:eastAsia="Times New Roman" w:hAnsi="Times New Roman"/>
          <w:sz w:val="24"/>
          <w:szCs w:val="24"/>
          <w:lang w:val="es-ES_tradnl" w:eastAsia="es-PE"/>
        </w:rPr>
        <w:fldChar w:fldCharType="separate"/>
      </w:r>
      <w:r w:rsidR="002647F1" w:rsidRPr="002647F1">
        <w:rPr>
          <w:rFonts w:ascii="Times New Roman" w:eastAsia="Times New Roman" w:hAnsi="Times New Roman"/>
          <w:noProof/>
          <w:sz w:val="24"/>
          <w:szCs w:val="24"/>
          <w:vertAlign w:val="superscript"/>
          <w:lang w:val="es-ES_tradnl" w:eastAsia="es-PE"/>
        </w:rPr>
        <w:t>(9)</w:t>
      </w:r>
      <w:r w:rsidR="002647F1" w:rsidRPr="002647F1">
        <w:rPr>
          <w:rFonts w:ascii="Times New Roman" w:eastAsia="Times New Roman" w:hAnsi="Times New Roman"/>
          <w:sz w:val="24"/>
          <w:szCs w:val="24"/>
          <w:lang w:val="es-ES_tradnl" w:eastAsia="es-PE"/>
        </w:rPr>
        <w:fldChar w:fldCharType="end"/>
      </w:r>
    </w:p>
    <w:p w14:paraId="6C68BDCB" w14:textId="77777777" w:rsidR="002647F1" w:rsidRPr="002647F1" w:rsidRDefault="002647F1" w:rsidP="00E929D5">
      <w:pPr>
        <w:spacing w:after="0" w:line="360" w:lineRule="auto"/>
        <w:ind w:firstLine="425"/>
        <w:rPr>
          <w:rFonts w:ascii="Times New Roman" w:eastAsia="Times New Roman" w:hAnsi="Times New Roman"/>
          <w:sz w:val="24"/>
          <w:szCs w:val="24"/>
          <w:highlight w:val="yellow"/>
          <w:lang w:val="es-ES_tradnl" w:eastAsia="es-PE"/>
        </w:rPr>
      </w:pPr>
    </w:p>
    <w:p w14:paraId="53AA32C0" w14:textId="3B9869AD" w:rsidR="002647F1" w:rsidRDefault="009E1104" w:rsidP="00E929D5">
      <w:pPr>
        <w:spacing w:after="0" w:line="360" w:lineRule="auto"/>
        <w:ind w:firstLine="425"/>
        <w:jc w:val="both"/>
        <w:rPr>
          <w:rFonts w:ascii="Times New Roman" w:eastAsia="Times New Roman" w:hAnsi="Times New Roman"/>
          <w:sz w:val="24"/>
          <w:szCs w:val="24"/>
          <w:lang w:val="es-ES_tradnl" w:eastAsia="es-PE"/>
        </w:rPr>
      </w:pPr>
      <w:proofErr w:type="spellStart"/>
      <w:r w:rsidRPr="009E1104">
        <w:rPr>
          <w:rFonts w:ascii="Times New Roman" w:eastAsia="Times New Roman" w:hAnsi="Times New Roman"/>
          <w:sz w:val="24"/>
          <w:szCs w:val="24"/>
          <w:lang w:val="es-ES_tradnl" w:eastAsia="es-PE"/>
        </w:rPr>
        <w:t>Therefore</w:t>
      </w:r>
      <w:proofErr w:type="spellEnd"/>
      <w:r w:rsidRPr="009E1104">
        <w:rPr>
          <w:rFonts w:ascii="Times New Roman" w:eastAsia="Times New Roman" w:hAnsi="Times New Roman"/>
          <w:sz w:val="24"/>
          <w:szCs w:val="24"/>
          <w:lang w:val="es-ES_tradnl" w:eastAsia="es-PE"/>
        </w:rPr>
        <w:t xml:space="preserve">, to </w:t>
      </w:r>
      <w:proofErr w:type="spellStart"/>
      <w:r w:rsidRPr="009E1104">
        <w:rPr>
          <w:rFonts w:ascii="Times New Roman" w:eastAsia="Times New Roman" w:hAnsi="Times New Roman"/>
          <w:sz w:val="24"/>
          <w:szCs w:val="24"/>
          <w:lang w:val="es-ES_tradnl" w:eastAsia="es-PE"/>
        </w:rPr>
        <w:t>prevent</w:t>
      </w:r>
      <w:proofErr w:type="spellEnd"/>
      <w:r w:rsidRPr="009E1104">
        <w:rPr>
          <w:rFonts w:ascii="Times New Roman" w:eastAsia="Times New Roman" w:hAnsi="Times New Roman"/>
          <w:sz w:val="24"/>
          <w:szCs w:val="24"/>
          <w:lang w:val="es-ES_tradnl" w:eastAsia="es-PE"/>
        </w:rPr>
        <w:t xml:space="preserve"> osteoporosis, </w:t>
      </w:r>
      <w:proofErr w:type="spellStart"/>
      <w:r w:rsidRPr="009E1104">
        <w:rPr>
          <w:rFonts w:ascii="Times New Roman" w:eastAsia="Times New Roman" w:hAnsi="Times New Roman"/>
          <w:sz w:val="24"/>
          <w:szCs w:val="24"/>
          <w:lang w:val="es-ES_tradnl" w:eastAsia="es-PE"/>
        </w:rPr>
        <w:t>it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required</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that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people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have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information</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knowledge</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main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factors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required</w:t>
      </w:r>
      <w:proofErr w:type="spellEnd"/>
      <w:r w:rsidRPr="009E1104">
        <w:rPr>
          <w:rFonts w:ascii="Times New Roman" w:eastAsia="Times New Roman" w:hAnsi="Times New Roman"/>
          <w:sz w:val="24"/>
          <w:szCs w:val="24"/>
          <w:lang w:val="es-ES_tradnl" w:eastAsia="es-PE"/>
        </w:rPr>
        <w:t xml:space="preserve"> to </w:t>
      </w:r>
      <w:proofErr w:type="spellStart"/>
      <w:r w:rsidRPr="009E1104">
        <w:rPr>
          <w:rFonts w:ascii="Times New Roman" w:eastAsia="Times New Roman" w:hAnsi="Times New Roman"/>
          <w:sz w:val="24"/>
          <w:szCs w:val="24"/>
          <w:lang w:val="es-ES_tradnl" w:eastAsia="es-PE"/>
        </w:rPr>
        <w:t>maintain</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health</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throughout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life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related</w:t>
      </w:r>
      <w:proofErr w:type="spellEnd"/>
      <w:r w:rsidRPr="009E1104">
        <w:rPr>
          <w:rFonts w:ascii="Times New Roman" w:eastAsia="Times New Roman" w:hAnsi="Times New Roman"/>
          <w:sz w:val="24"/>
          <w:szCs w:val="24"/>
          <w:lang w:val="es-ES_tradnl" w:eastAsia="es-PE"/>
        </w:rPr>
        <w:t xml:space="preserve"> to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well-being</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people</w:t>
      </w:r>
      <w:proofErr w:type="spellEnd"/>
      <w:r w:rsidRPr="009E1104">
        <w:rPr>
          <w:rFonts w:ascii="Times New Roman" w:eastAsia="Times New Roman" w:hAnsi="Times New Roman"/>
          <w:sz w:val="24"/>
          <w:szCs w:val="24"/>
          <w:lang w:val="es-ES_tradnl" w:eastAsia="es-PE"/>
        </w:rPr>
        <w:t xml:space="preserve"> and to </w:t>
      </w:r>
      <w:proofErr w:type="spellStart"/>
      <w:r w:rsidRPr="009E1104">
        <w:rPr>
          <w:rFonts w:ascii="Times New Roman" w:eastAsia="Times New Roman" w:hAnsi="Times New Roman"/>
          <w:sz w:val="24"/>
          <w:szCs w:val="24"/>
          <w:lang w:val="es-ES_tradnl" w:eastAsia="es-PE"/>
        </w:rPr>
        <w:t>have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quality</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life</w:t>
      </w:r>
      <w:proofErr w:type="spellEnd"/>
      <w:r w:rsidRPr="009E1104">
        <w:rPr>
          <w:rFonts w:ascii="Times New Roman" w:eastAsia="Times New Roman" w:hAnsi="Times New Roman"/>
          <w:sz w:val="24"/>
          <w:szCs w:val="24"/>
          <w:lang w:val="es-ES_tradnl" w:eastAsia="es-PE"/>
        </w:rPr>
        <w:t xml:space="preserve"> in </w:t>
      </w:r>
      <w:proofErr w:type="spellStart"/>
      <w:r w:rsidRPr="009E1104">
        <w:rPr>
          <w:rFonts w:ascii="Times New Roman" w:eastAsia="Times New Roman" w:hAnsi="Times New Roman"/>
          <w:sz w:val="24"/>
          <w:szCs w:val="24"/>
          <w:lang w:val="es-ES_tradnl" w:eastAsia="es-PE"/>
        </w:rPr>
        <w:t>adulthood</w:t>
      </w:r>
      <w:proofErr w:type="spellEnd"/>
      <w:r w:rsidRPr="009E1104">
        <w:rPr>
          <w:rFonts w:ascii="Times New Roman" w:eastAsia="Times New Roman" w:hAnsi="Times New Roman"/>
          <w:sz w:val="24"/>
          <w:szCs w:val="24"/>
          <w:lang w:val="es-ES_tradnl" w:eastAsia="es-PE"/>
        </w:rPr>
        <w:t xml:space="preserve"> and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elderly</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Likewise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it</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is</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required</w:t>
      </w:r>
      <w:proofErr w:type="spellEnd"/>
      <w:r w:rsidRPr="009E1104">
        <w:rPr>
          <w:rFonts w:ascii="Times New Roman" w:eastAsia="Times New Roman" w:hAnsi="Times New Roman"/>
          <w:sz w:val="24"/>
          <w:szCs w:val="24"/>
          <w:lang w:val="es-ES_tradnl" w:eastAsia="es-PE"/>
        </w:rPr>
        <w:t xml:space="preserve"> to </w:t>
      </w:r>
      <w:proofErr w:type="spellStart"/>
      <w:r w:rsidR="00AB63A7">
        <w:rPr>
          <w:rFonts w:ascii="Times New Roman" w:eastAsia="Times New Roman" w:hAnsi="Times New Roman"/>
          <w:sz w:val="24"/>
          <w:szCs w:val="24"/>
          <w:lang w:val="es-ES_tradnl" w:eastAsia="es-PE"/>
        </w:rPr>
        <w:t>know</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evaluation</w:t>
      </w:r>
      <w:proofErr w:type="spellEnd"/>
      <w:r w:rsidRPr="009E1104">
        <w:rPr>
          <w:rFonts w:ascii="Times New Roman" w:eastAsia="Times New Roman" w:hAnsi="Times New Roman"/>
          <w:sz w:val="24"/>
          <w:szCs w:val="24"/>
          <w:lang w:val="es-ES_tradnl" w:eastAsia="es-PE"/>
        </w:rPr>
        <w:t xml:space="preserve"> of </w:t>
      </w:r>
      <w:proofErr w:type="spellStart"/>
      <w:r w:rsidRPr="009E1104">
        <w:rPr>
          <w:rFonts w:ascii="Times New Roman" w:eastAsia="Times New Roman" w:hAnsi="Times New Roman"/>
          <w:sz w:val="24"/>
          <w:szCs w:val="24"/>
          <w:lang w:val="es-ES_tradnl" w:eastAsia="es-PE"/>
        </w:rPr>
        <w:t>the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disease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such</w:t>
      </w:r>
      <w:proofErr w:type="spellEnd"/>
      <w:r w:rsidRPr="009E1104">
        <w:rPr>
          <w:rFonts w:ascii="Times New Roman" w:eastAsia="Times New Roman" w:hAnsi="Times New Roman"/>
          <w:sz w:val="24"/>
          <w:szCs w:val="24"/>
          <w:lang w:val="es-ES_tradnl" w:eastAsia="es-PE"/>
        </w:rPr>
        <w:t xml:space="preserve"> as </w:t>
      </w:r>
      <w:proofErr w:type="spellStart"/>
      <w:r w:rsidRPr="009E1104">
        <w:rPr>
          <w:rFonts w:ascii="Times New Roman" w:eastAsia="Times New Roman" w:hAnsi="Times New Roman"/>
          <w:sz w:val="24"/>
          <w:szCs w:val="24"/>
          <w:lang w:val="es-ES_tradnl" w:eastAsia="es-PE"/>
        </w:rPr>
        <w:t>bone</w:t>
      </w:r>
      <w:proofErr w:type="spellEnd"/>
      <w:r w:rsidRPr="009E1104">
        <w:rPr>
          <w:rFonts w:ascii="Times New Roman" w:eastAsia="Times New Roman" w:hAnsi="Times New Roman"/>
          <w:sz w:val="24"/>
          <w:szCs w:val="24"/>
          <w:lang w:val="es-ES_tradnl" w:eastAsia="es-PE"/>
        </w:rPr>
        <w:t xml:space="preserve"> </w:t>
      </w:r>
      <w:proofErr w:type="spellStart"/>
      <w:r w:rsidRPr="009E1104">
        <w:rPr>
          <w:rFonts w:ascii="Times New Roman" w:eastAsia="Times New Roman" w:hAnsi="Times New Roman"/>
          <w:sz w:val="24"/>
          <w:szCs w:val="24"/>
          <w:lang w:val="es-ES_tradnl" w:eastAsia="es-PE"/>
        </w:rPr>
        <w:t>densitometry</w:t>
      </w:r>
      <w:proofErr w:type="spellEnd"/>
      <w:r w:rsidR="007E093B">
        <w:rPr>
          <w:rFonts w:ascii="Times New Roman" w:eastAsia="Times New Roman" w:hAnsi="Times New Roman"/>
          <w:sz w:val="24"/>
          <w:szCs w:val="24"/>
          <w:lang w:val="es-ES_tradnl" w:eastAsia="es-PE"/>
        </w:rPr>
        <w:t xml:space="preserve">. </w:t>
      </w:r>
    </w:p>
    <w:p w14:paraId="18517784" w14:textId="77777777" w:rsidR="00AD55DA" w:rsidRPr="002647F1" w:rsidRDefault="00AD55DA" w:rsidP="00E929D5">
      <w:pPr>
        <w:spacing w:after="0" w:line="360" w:lineRule="auto"/>
        <w:ind w:firstLine="425"/>
        <w:rPr>
          <w:rFonts w:ascii="Times New Roman" w:eastAsia="Times New Roman" w:hAnsi="Times New Roman"/>
          <w:sz w:val="24"/>
          <w:szCs w:val="24"/>
          <w:lang w:val="es-ES_tradnl" w:eastAsia="es-PE"/>
        </w:rPr>
      </w:pPr>
    </w:p>
    <w:p w14:paraId="0862C3D8" w14:textId="2C9EF527" w:rsidR="00AD55DA" w:rsidRPr="002647F1" w:rsidRDefault="00AB63A7" w:rsidP="00E929D5">
      <w:pPr>
        <w:spacing w:after="0" w:line="360" w:lineRule="auto"/>
        <w:ind w:firstLine="425"/>
        <w:jc w:val="both"/>
        <w:rPr>
          <w:rFonts w:ascii="Times New Roman" w:eastAsia="Times New Roman" w:hAnsi="Times New Roman"/>
          <w:sz w:val="24"/>
          <w:szCs w:val="24"/>
          <w:lang w:val="es-PE" w:eastAsia="es-PE"/>
        </w:rPr>
        <w:sectPr w:rsidR="00AD55DA" w:rsidRPr="002647F1" w:rsidSect="00F015D6">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701" w:header="709" w:footer="709" w:gutter="0"/>
          <w:pgNumType w:start="1"/>
          <w:cols w:space="708"/>
          <w:titlePg/>
          <w:docGrid w:linePitch="360"/>
        </w:sectPr>
      </w:pPr>
      <w:proofErr w:type="spellStart"/>
      <w:r>
        <w:rPr>
          <w:rFonts w:ascii="Times New Roman" w:eastAsia="Times New Roman" w:hAnsi="Times New Roman"/>
          <w:sz w:val="24"/>
          <w:szCs w:val="24"/>
          <w:lang w:val="es-ES_tradnl" w:eastAsia="es-PE"/>
        </w:rPr>
        <w:t>Given</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scope</w:t>
      </w:r>
      <w:proofErr w:type="spellEnd"/>
      <w:r w:rsidR="009E1104" w:rsidRPr="009E1104">
        <w:rPr>
          <w:rFonts w:ascii="Times New Roman" w:eastAsia="Times New Roman" w:hAnsi="Times New Roman"/>
          <w:sz w:val="24"/>
          <w:szCs w:val="24"/>
          <w:lang w:val="es-ES_tradnl" w:eastAsia="es-PE"/>
        </w:rPr>
        <w:t xml:space="preserve"> of </w:t>
      </w:r>
      <w:proofErr w:type="spellStart"/>
      <w:r w:rsidR="009E1104" w:rsidRPr="009E1104">
        <w:rPr>
          <w:rFonts w:ascii="Times New Roman" w:eastAsia="Times New Roman" w:hAnsi="Times New Roman"/>
          <w:sz w:val="24"/>
          <w:szCs w:val="24"/>
          <w:lang w:val="es-ES_tradnl" w:eastAsia="es-PE"/>
        </w:rPr>
        <w:t>this</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disease</w:t>
      </w:r>
      <w:proofErr w:type="spellEnd"/>
      <w:r w:rsidR="009E1104" w:rsidRPr="009E1104">
        <w:rPr>
          <w:rFonts w:ascii="Times New Roman" w:eastAsia="Times New Roman" w:hAnsi="Times New Roman"/>
          <w:sz w:val="24"/>
          <w:szCs w:val="24"/>
          <w:lang w:val="es-ES_tradnl" w:eastAsia="es-PE"/>
        </w:rPr>
        <w:t xml:space="preserve"> and </w:t>
      </w:r>
      <w:proofErr w:type="spellStart"/>
      <w:r w:rsidR="009E1104" w:rsidRPr="009E1104">
        <w:rPr>
          <w:rFonts w:ascii="Times New Roman" w:eastAsia="Times New Roman" w:hAnsi="Times New Roman"/>
          <w:sz w:val="24"/>
          <w:szCs w:val="24"/>
          <w:lang w:val="es-ES_tradnl" w:eastAsia="es-PE"/>
        </w:rPr>
        <w:t>its</w:t>
      </w:r>
      <w:proofErr w:type="spellEnd"/>
      <w:r w:rsidR="009E1104" w:rsidRPr="009E1104">
        <w:rPr>
          <w:rFonts w:ascii="Times New Roman" w:eastAsia="Times New Roman" w:hAnsi="Times New Roman"/>
          <w:sz w:val="24"/>
          <w:szCs w:val="24"/>
          <w:lang w:val="es-ES_tradnl" w:eastAsia="es-PE"/>
        </w:rPr>
        <w:t xml:space="preserve"> irreversible </w:t>
      </w:r>
      <w:proofErr w:type="spellStart"/>
      <w:r w:rsidR="009E1104" w:rsidRPr="009E1104">
        <w:rPr>
          <w:rFonts w:ascii="Times New Roman" w:eastAsia="Times New Roman" w:hAnsi="Times New Roman"/>
          <w:sz w:val="24"/>
          <w:szCs w:val="24"/>
          <w:lang w:val="es-ES_tradnl" w:eastAsia="es-PE"/>
        </w:rPr>
        <w:t>consequences</w:t>
      </w:r>
      <w:proofErr w:type="spellEnd"/>
      <w:r w:rsidR="009E1104" w:rsidRPr="009E1104">
        <w:rPr>
          <w:rFonts w:ascii="Times New Roman" w:eastAsia="Times New Roman" w:hAnsi="Times New Roman"/>
          <w:sz w:val="24"/>
          <w:szCs w:val="24"/>
          <w:lang w:val="es-ES_tradnl" w:eastAsia="es-PE"/>
        </w:rPr>
        <w:t xml:space="preserve">, and </w:t>
      </w:r>
      <w:proofErr w:type="spellStart"/>
      <w:r w:rsidR="009E1104" w:rsidRPr="009E1104">
        <w:rPr>
          <w:rFonts w:ascii="Times New Roman" w:eastAsia="Times New Roman" w:hAnsi="Times New Roman"/>
          <w:sz w:val="24"/>
          <w:szCs w:val="24"/>
          <w:lang w:val="es-ES_tradnl" w:eastAsia="es-PE"/>
        </w:rPr>
        <w:t>supported</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by</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scarce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literature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currently</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available</w:t>
      </w:r>
      <w:proofErr w:type="spellEnd"/>
      <w:r w:rsidR="009E1104" w:rsidRPr="009E1104">
        <w:rPr>
          <w:rFonts w:ascii="Times New Roman" w:eastAsia="Times New Roman" w:hAnsi="Times New Roman"/>
          <w:sz w:val="24"/>
          <w:szCs w:val="24"/>
          <w:lang w:val="es-ES_tradnl" w:eastAsia="es-PE"/>
        </w:rPr>
        <w:t xml:space="preserve"> in </w:t>
      </w:r>
      <w:proofErr w:type="spellStart"/>
      <w:r w:rsidR="009E1104" w:rsidRPr="009E1104">
        <w:rPr>
          <w:rFonts w:ascii="Times New Roman" w:eastAsia="Times New Roman" w:hAnsi="Times New Roman"/>
          <w:sz w:val="24"/>
          <w:szCs w:val="24"/>
          <w:lang w:val="es-ES_tradnl" w:eastAsia="es-PE"/>
        </w:rPr>
        <w:t>university</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classrooms</w:t>
      </w:r>
      <w:proofErr w:type="spellEnd"/>
      <w:r w:rsidR="009E1104" w:rsidRPr="009E1104">
        <w:rPr>
          <w:rFonts w:ascii="Times New Roman" w:eastAsia="Times New Roman" w:hAnsi="Times New Roman"/>
          <w:sz w:val="24"/>
          <w:szCs w:val="24"/>
          <w:lang w:val="es-ES_tradnl" w:eastAsia="es-PE"/>
        </w:rPr>
        <w:t xml:space="preserve"> and </w:t>
      </w:r>
      <w:proofErr w:type="spellStart"/>
      <w:r w:rsidR="009E1104" w:rsidRPr="009E1104">
        <w:rPr>
          <w:rFonts w:ascii="Times New Roman" w:eastAsia="Times New Roman" w:hAnsi="Times New Roman"/>
          <w:sz w:val="24"/>
          <w:szCs w:val="24"/>
          <w:lang w:val="es-ES_tradnl" w:eastAsia="es-PE"/>
        </w:rPr>
        <w:t>professional</w:t>
      </w:r>
      <w:proofErr w:type="spellEnd"/>
      <w:r w:rsidR="009E1104" w:rsidRPr="009E1104">
        <w:rPr>
          <w:rFonts w:ascii="Times New Roman" w:eastAsia="Times New Roman" w:hAnsi="Times New Roman"/>
          <w:sz w:val="24"/>
          <w:szCs w:val="24"/>
          <w:lang w:val="es-ES_tradnl" w:eastAsia="es-PE"/>
        </w:rPr>
        <w:t xml:space="preserve"> training centers in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national</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territory</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purpose</w:t>
      </w:r>
      <w:proofErr w:type="spellEnd"/>
      <w:r w:rsidR="009E1104" w:rsidRPr="009E1104">
        <w:rPr>
          <w:rFonts w:ascii="Times New Roman" w:eastAsia="Times New Roman" w:hAnsi="Times New Roman"/>
          <w:sz w:val="24"/>
          <w:szCs w:val="24"/>
          <w:lang w:val="es-ES_tradnl" w:eastAsia="es-PE"/>
        </w:rPr>
        <w:t xml:space="preserve"> of </w:t>
      </w:r>
      <w:proofErr w:type="spellStart"/>
      <w:r w:rsidR="009E1104" w:rsidRPr="009E1104">
        <w:rPr>
          <w:rFonts w:ascii="Times New Roman" w:eastAsia="Times New Roman" w:hAnsi="Times New Roman"/>
          <w:sz w:val="24"/>
          <w:szCs w:val="24"/>
          <w:lang w:val="es-ES_tradnl" w:eastAsia="es-PE"/>
        </w:rPr>
        <w:t>this</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research</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was</w:t>
      </w:r>
      <w:proofErr w:type="spellEnd"/>
      <w:r w:rsidR="009E1104" w:rsidRPr="009E1104">
        <w:rPr>
          <w:rFonts w:ascii="Times New Roman" w:eastAsia="Times New Roman" w:hAnsi="Times New Roman"/>
          <w:sz w:val="24"/>
          <w:szCs w:val="24"/>
          <w:lang w:val="es-ES_tradnl" w:eastAsia="es-PE"/>
        </w:rPr>
        <w:t xml:space="preserve"> to determine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relationship</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between</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knowledge</w:t>
      </w:r>
      <w:proofErr w:type="spellEnd"/>
      <w:r w:rsidR="009E1104" w:rsidRPr="009E1104">
        <w:rPr>
          <w:rFonts w:ascii="Times New Roman" w:eastAsia="Times New Roman" w:hAnsi="Times New Roman"/>
          <w:sz w:val="24"/>
          <w:szCs w:val="24"/>
          <w:lang w:val="es-ES_tradnl" w:eastAsia="es-PE"/>
        </w:rPr>
        <w:t xml:space="preserve"> of </w:t>
      </w:r>
      <w:proofErr w:type="spellStart"/>
      <w:r w:rsidR="009E1104" w:rsidRPr="009E1104">
        <w:rPr>
          <w:rFonts w:ascii="Times New Roman" w:eastAsia="Times New Roman" w:hAnsi="Times New Roman"/>
          <w:sz w:val="24"/>
          <w:szCs w:val="24"/>
          <w:lang w:val="es-ES_tradnl" w:eastAsia="es-PE"/>
        </w:rPr>
        <w:t>bone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decalcification</w:t>
      </w:r>
      <w:proofErr w:type="spellEnd"/>
      <w:r w:rsidR="009E1104" w:rsidRPr="009E1104">
        <w:rPr>
          <w:rFonts w:ascii="Times New Roman" w:eastAsia="Times New Roman" w:hAnsi="Times New Roman"/>
          <w:sz w:val="24"/>
          <w:szCs w:val="24"/>
          <w:lang w:val="es-ES_tradnl" w:eastAsia="es-PE"/>
        </w:rPr>
        <w:t xml:space="preserve"> and osteoporosis in </w:t>
      </w:r>
      <w:proofErr w:type="spellStart"/>
      <w:r w:rsidR="009E1104" w:rsidRPr="009E1104">
        <w:rPr>
          <w:rFonts w:ascii="Times New Roman" w:eastAsia="Times New Roman" w:hAnsi="Times New Roman"/>
          <w:sz w:val="24"/>
          <w:szCs w:val="24"/>
          <w:lang w:val="es-ES_tradnl" w:eastAsia="es-PE"/>
        </w:rPr>
        <w:t>workers</w:t>
      </w:r>
      <w:proofErr w:type="spellEnd"/>
      <w:r w:rsidR="009E1104" w:rsidRPr="009E1104">
        <w:rPr>
          <w:rFonts w:ascii="Times New Roman" w:eastAsia="Times New Roman" w:hAnsi="Times New Roman"/>
          <w:sz w:val="24"/>
          <w:szCs w:val="24"/>
          <w:lang w:val="es-ES_tradnl" w:eastAsia="es-PE"/>
        </w:rPr>
        <w:t xml:space="preserve"> of </w:t>
      </w:r>
      <w:proofErr w:type="spellStart"/>
      <w:r w:rsidR="009E1104" w:rsidRPr="009E1104">
        <w:rPr>
          <w:rFonts w:ascii="Times New Roman" w:eastAsia="Times New Roman" w:hAnsi="Times New Roman"/>
          <w:sz w:val="24"/>
          <w:szCs w:val="24"/>
          <w:lang w:val="es-ES_tradnl" w:eastAsia="es-PE"/>
        </w:rPr>
        <w:t>the</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National</w:t>
      </w:r>
      <w:proofErr w:type="spellEnd"/>
      <w:r w:rsidR="009E1104" w:rsidRPr="009E1104">
        <w:rPr>
          <w:rFonts w:ascii="Times New Roman" w:eastAsia="Times New Roman" w:hAnsi="Times New Roman"/>
          <w:sz w:val="24"/>
          <w:szCs w:val="24"/>
          <w:lang w:val="es-ES_tradnl" w:eastAsia="es-PE"/>
        </w:rPr>
        <w:t xml:space="preserve"> </w:t>
      </w:r>
      <w:proofErr w:type="spellStart"/>
      <w:r w:rsidR="009E1104" w:rsidRPr="009E1104">
        <w:rPr>
          <w:rFonts w:ascii="Times New Roman" w:eastAsia="Times New Roman" w:hAnsi="Times New Roman"/>
          <w:sz w:val="24"/>
          <w:szCs w:val="24"/>
          <w:lang w:val="es-ES_tradnl" w:eastAsia="es-PE"/>
        </w:rPr>
        <w:t>University</w:t>
      </w:r>
      <w:proofErr w:type="spellEnd"/>
      <w:r w:rsidR="009E1104" w:rsidRPr="009E1104">
        <w:rPr>
          <w:rFonts w:ascii="Times New Roman" w:eastAsia="Times New Roman" w:hAnsi="Times New Roman"/>
          <w:sz w:val="24"/>
          <w:szCs w:val="24"/>
          <w:lang w:val="es-ES_tradnl" w:eastAsia="es-PE"/>
        </w:rPr>
        <w:t xml:space="preserve"> of </w:t>
      </w:r>
      <w:proofErr w:type="spellStart"/>
      <w:r w:rsidR="009E1104" w:rsidRPr="009E1104">
        <w:rPr>
          <w:rFonts w:ascii="Times New Roman" w:eastAsia="Times New Roman" w:hAnsi="Times New Roman"/>
          <w:sz w:val="24"/>
          <w:szCs w:val="24"/>
          <w:lang w:val="es-ES_tradnl" w:eastAsia="es-PE"/>
        </w:rPr>
        <w:t>Education</w:t>
      </w:r>
      <w:proofErr w:type="spellEnd"/>
      <w:r w:rsidR="009E1104" w:rsidRPr="009E1104">
        <w:rPr>
          <w:rFonts w:ascii="Times New Roman" w:eastAsia="Times New Roman" w:hAnsi="Times New Roman"/>
          <w:sz w:val="24"/>
          <w:szCs w:val="24"/>
          <w:lang w:val="es-ES_tradnl" w:eastAsia="es-PE"/>
        </w:rPr>
        <w:t xml:space="preserve"> </w:t>
      </w:r>
      <w:r>
        <w:rPr>
          <w:rFonts w:ascii="Times New Roman" w:eastAsia="Times New Roman" w:hAnsi="Times New Roman"/>
          <w:sz w:val="24"/>
          <w:szCs w:val="24"/>
          <w:lang w:val="es-ES_tradnl" w:eastAsia="es-PE"/>
        </w:rPr>
        <w:t>“</w:t>
      </w:r>
      <w:r w:rsidR="009E1104" w:rsidRPr="009E1104">
        <w:rPr>
          <w:rFonts w:ascii="Times New Roman" w:eastAsia="Times New Roman" w:hAnsi="Times New Roman"/>
          <w:sz w:val="24"/>
          <w:szCs w:val="24"/>
          <w:lang w:val="es-ES_tradnl" w:eastAsia="es-PE"/>
        </w:rPr>
        <w:t>Enrique Guzmán y Valle</w:t>
      </w:r>
      <w:r>
        <w:rPr>
          <w:rFonts w:ascii="Times New Roman" w:eastAsia="Times New Roman" w:hAnsi="Times New Roman"/>
          <w:sz w:val="24"/>
          <w:szCs w:val="24"/>
          <w:lang w:val="es-ES_tradnl" w:eastAsia="es-PE"/>
        </w:rPr>
        <w:t>.”</w:t>
      </w:r>
      <w:r w:rsidR="00AD55DA" w:rsidRPr="009E1104">
        <w:rPr>
          <w:rFonts w:ascii="Times New Roman" w:eastAsia="Times New Roman" w:hAnsi="Times New Roman"/>
          <w:sz w:val="24"/>
          <w:szCs w:val="24"/>
          <w:highlight w:val="yellow"/>
          <w:lang w:val="es-ES_tradnl" w:eastAsia="es-PE"/>
        </w:rPr>
        <w:t>201</w:t>
      </w:r>
    </w:p>
    <w:p w14:paraId="6A958C06" w14:textId="6EA4B474" w:rsidR="00C45509" w:rsidRPr="00CE4512" w:rsidRDefault="009E1104" w:rsidP="009B61A2">
      <w:pPr>
        <w:pStyle w:val="NormalWeb"/>
        <w:spacing w:before="0" w:beforeAutospacing="0" w:after="0" w:afterAutospacing="0"/>
        <w:jc w:val="both"/>
        <w:rPr>
          <w:b/>
        </w:rPr>
      </w:pPr>
      <w:proofErr w:type="spellStart"/>
      <w:r w:rsidRPr="009E1104">
        <w:rPr>
          <w:b/>
        </w:rPr>
        <w:lastRenderedPageBreak/>
        <w:t>Materials</w:t>
      </w:r>
      <w:proofErr w:type="spellEnd"/>
      <w:r w:rsidRPr="009E1104">
        <w:rPr>
          <w:b/>
        </w:rPr>
        <w:t xml:space="preserve"> and </w:t>
      </w:r>
      <w:proofErr w:type="spellStart"/>
      <w:r w:rsidRPr="009E1104">
        <w:rPr>
          <w:b/>
        </w:rPr>
        <w:t>methods</w:t>
      </w:r>
      <w:proofErr w:type="spellEnd"/>
      <w:r w:rsidR="00A873D0" w:rsidRPr="00CE4512">
        <w:rPr>
          <w:b/>
        </w:rPr>
        <w:t xml:space="preserve"> </w:t>
      </w:r>
    </w:p>
    <w:p w14:paraId="0629A40A" w14:textId="77777777" w:rsidR="00C45509" w:rsidRPr="00CE4512" w:rsidRDefault="00C45509" w:rsidP="009B61A2">
      <w:pPr>
        <w:pStyle w:val="NormalWeb"/>
        <w:spacing w:before="0" w:beforeAutospacing="0" w:after="0" w:afterAutospacing="0"/>
        <w:jc w:val="both"/>
        <w:rPr>
          <w:b/>
        </w:rPr>
      </w:pPr>
    </w:p>
    <w:p w14:paraId="0686CFA7" w14:textId="7CFDC1E0" w:rsidR="00C45509" w:rsidRPr="00CE4512" w:rsidRDefault="009E1104" w:rsidP="009B61A2">
      <w:pPr>
        <w:spacing w:line="480" w:lineRule="auto"/>
        <w:ind w:firstLine="567"/>
        <w:jc w:val="both"/>
        <w:rPr>
          <w:rFonts w:ascii="Times New Roman" w:hAnsi="Times New Roman"/>
          <w:sz w:val="24"/>
          <w:szCs w:val="24"/>
          <w:lang w:val="es-ES_tradnl"/>
        </w:rPr>
      </w:pP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research</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was</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descriptive</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cross-sectional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correlational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type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because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it</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described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prevalence</w:t>
      </w:r>
      <w:proofErr w:type="spellEnd"/>
      <w:r w:rsidRPr="009E1104">
        <w:rPr>
          <w:rFonts w:ascii="Times New Roman" w:hAnsi="Times New Roman"/>
          <w:sz w:val="24"/>
          <w:szCs w:val="24"/>
          <w:lang w:val="es-ES_tradnl"/>
        </w:rPr>
        <w:t xml:space="preserve"> of osteoporosis and </w:t>
      </w:r>
      <w:proofErr w:type="spellStart"/>
      <w:r w:rsidRPr="009E1104">
        <w:rPr>
          <w:rFonts w:ascii="Times New Roman" w:hAnsi="Times New Roman"/>
          <w:sz w:val="24"/>
          <w:szCs w:val="24"/>
          <w:lang w:val="es-ES_tradnl"/>
        </w:rPr>
        <w:t>knowledge</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bone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decalcification</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verified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association</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between</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these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two</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main</w:t>
      </w:r>
      <w:proofErr w:type="spellEnd"/>
      <w:r w:rsidRPr="009E1104">
        <w:rPr>
          <w:rFonts w:ascii="Times New Roman" w:hAnsi="Times New Roman"/>
          <w:sz w:val="24"/>
          <w:szCs w:val="24"/>
          <w:lang w:val="es-ES_tradnl"/>
        </w:rPr>
        <w:t xml:space="preserve"> variables of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study</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research</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had</w:t>
      </w:r>
      <w:proofErr w:type="spellEnd"/>
      <w:r w:rsidRPr="009E1104">
        <w:rPr>
          <w:rFonts w:ascii="Times New Roman" w:hAnsi="Times New Roman"/>
          <w:sz w:val="24"/>
          <w:szCs w:val="24"/>
          <w:lang w:val="es-ES_tradnl"/>
        </w:rPr>
        <w:t xml:space="preserve"> a </w:t>
      </w:r>
      <w:proofErr w:type="spellStart"/>
      <w:r w:rsidRPr="009E1104">
        <w:rPr>
          <w:rFonts w:ascii="Times New Roman" w:hAnsi="Times New Roman"/>
          <w:sz w:val="24"/>
          <w:szCs w:val="24"/>
          <w:lang w:val="es-ES_tradnl"/>
        </w:rPr>
        <w:t>quantitative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approach</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used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deductive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method</w:t>
      </w:r>
      <w:proofErr w:type="spellEnd"/>
      <w:r w:rsidR="0002077F" w:rsidRPr="00CE4512">
        <w:rPr>
          <w:rFonts w:ascii="Times New Roman" w:hAnsi="Times New Roman"/>
          <w:sz w:val="24"/>
          <w:szCs w:val="24"/>
          <w:lang w:val="es-ES_tradnl"/>
        </w:rPr>
        <w:t>.</w:t>
      </w:r>
    </w:p>
    <w:p w14:paraId="4668F903" w14:textId="5F1F0BFF" w:rsidR="00D22D84" w:rsidRPr="00CE4512" w:rsidRDefault="009E1104" w:rsidP="00E929D5">
      <w:pPr>
        <w:spacing w:line="480" w:lineRule="auto"/>
        <w:ind w:firstLine="425"/>
        <w:jc w:val="both"/>
        <w:rPr>
          <w:rFonts w:ascii="Times New Roman" w:hAnsi="Times New Roman"/>
          <w:color w:val="FF0000"/>
          <w:sz w:val="24"/>
          <w:szCs w:val="24"/>
          <w:lang w:val="es-ES_tradnl"/>
        </w:rPr>
      </w:pP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study</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population</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consisted</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collaborators</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National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University</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Education</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sample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was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intentional</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consisted</w:t>
      </w:r>
      <w:proofErr w:type="spellEnd"/>
      <w:r w:rsidRPr="009E1104">
        <w:rPr>
          <w:rFonts w:ascii="Times New Roman" w:hAnsi="Times New Roman"/>
          <w:sz w:val="24"/>
          <w:szCs w:val="24"/>
          <w:lang w:val="es-ES_tradnl"/>
        </w:rPr>
        <w:t xml:space="preserve"> of 104 </w:t>
      </w:r>
      <w:proofErr w:type="spellStart"/>
      <w:r w:rsidRPr="009E1104">
        <w:rPr>
          <w:rFonts w:ascii="Times New Roman" w:hAnsi="Times New Roman"/>
          <w:sz w:val="24"/>
          <w:szCs w:val="24"/>
          <w:lang w:val="es-ES_tradnl"/>
        </w:rPr>
        <w:t>administrative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workers</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teachers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over</w:t>
      </w:r>
      <w:proofErr w:type="spellEnd"/>
      <w:r w:rsidRPr="009E1104">
        <w:rPr>
          <w:rFonts w:ascii="Times New Roman" w:hAnsi="Times New Roman"/>
          <w:sz w:val="24"/>
          <w:szCs w:val="24"/>
          <w:lang w:val="es-ES_tradnl"/>
        </w:rPr>
        <w:t xml:space="preserve"> 40 </w:t>
      </w:r>
      <w:proofErr w:type="spellStart"/>
      <w:r w:rsidRPr="009E1104">
        <w:rPr>
          <w:rFonts w:ascii="Times New Roman" w:hAnsi="Times New Roman"/>
          <w:sz w:val="24"/>
          <w:szCs w:val="24"/>
          <w:lang w:val="es-ES_tradnl"/>
        </w:rPr>
        <w:t>years</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age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from</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different</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faculties</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National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University</w:t>
      </w:r>
      <w:proofErr w:type="spellEnd"/>
      <w:r w:rsidRPr="009E1104">
        <w:rPr>
          <w:rFonts w:ascii="Times New Roman" w:hAnsi="Times New Roman"/>
          <w:sz w:val="24"/>
          <w:szCs w:val="24"/>
          <w:lang w:val="es-ES_tradnl"/>
        </w:rPr>
        <w:t xml:space="preserve"> of </w:t>
      </w:r>
      <w:proofErr w:type="spellStart"/>
      <w:r w:rsidRPr="009E1104">
        <w:rPr>
          <w:rFonts w:ascii="Times New Roman" w:hAnsi="Times New Roman"/>
          <w:sz w:val="24"/>
          <w:szCs w:val="24"/>
          <w:lang w:val="es-ES_tradnl"/>
        </w:rPr>
        <w:t>Education</w:t>
      </w:r>
      <w:proofErr w:type="spellEnd"/>
      <w:r w:rsidRPr="009E1104">
        <w:rPr>
          <w:rFonts w:ascii="Times New Roman" w:hAnsi="Times New Roman"/>
          <w:sz w:val="24"/>
          <w:szCs w:val="24"/>
          <w:lang w:val="es-ES_tradnl"/>
        </w:rPr>
        <w:t xml:space="preserve"> in Lima-</w:t>
      </w:r>
      <w:proofErr w:type="spellStart"/>
      <w:r w:rsidRPr="009E1104">
        <w:rPr>
          <w:rFonts w:ascii="Times New Roman" w:hAnsi="Times New Roman"/>
          <w:sz w:val="24"/>
          <w:szCs w:val="24"/>
          <w:lang w:val="es-ES_tradnl"/>
        </w:rPr>
        <w:t>Peru</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all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participants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gave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their</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informed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consent</w:t>
      </w:r>
      <w:proofErr w:type="spellEnd"/>
      <w:r w:rsidRPr="009E1104">
        <w:rPr>
          <w:rFonts w:ascii="Times New Roman" w:hAnsi="Times New Roman"/>
          <w:sz w:val="24"/>
          <w:szCs w:val="24"/>
          <w:lang w:val="es-ES_tradnl"/>
        </w:rPr>
        <w:t xml:space="preserve">. A </w:t>
      </w:r>
      <w:proofErr w:type="spellStart"/>
      <w:r w:rsidRPr="009E1104">
        <w:rPr>
          <w:rFonts w:ascii="Times New Roman" w:hAnsi="Times New Roman"/>
          <w:sz w:val="24"/>
          <w:szCs w:val="24"/>
          <w:lang w:val="es-ES_tradnl"/>
        </w:rPr>
        <w:t>validated</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reliable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questionnaire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with</w:t>
      </w:r>
      <w:proofErr w:type="spellEnd"/>
      <w:r w:rsidRPr="009E1104">
        <w:rPr>
          <w:rFonts w:ascii="Times New Roman" w:hAnsi="Times New Roman"/>
          <w:sz w:val="24"/>
          <w:szCs w:val="24"/>
          <w:lang w:val="es-ES_tradnl"/>
        </w:rPr>
        <w:t xml:space="preserve"> a </w:t>
      </w:r>
      <w:proofErr w:type="spellStart"/>
      <w:r w:rsidRPr="009E1104">
        <w:rPr>
          <w:rFonts w:ascii="Times New Roman" w:hAnsi="Times New Roman"/>
          <w:sz w:val="24"/>
          <w:szCs w:val="24"/>
          <w:lang w:val="es-ES_tradnl"/>
        </w:rPr>
        <w:t>Cro</w:t>
      </w:r>
      <w:r w:rsidR="00AB63A7">
        <w:rPr>
          <w:rFonts w:ascii="Times New Roman" w:hAnsi="Times New Roman"/>
          <w:sz w:val="24"/>
          <w:szCs w:val="24"/>
          <w:lang w:val="es-ES_tradnl"/>
        </w:rPr>
        <w:t>n</w:t>
      </w:r>
      <w:r w:rsidRPr="009E1104">
        <w:rPr>
          <w:rFonts w:ascii="Times New Roman" w:hAnsi="Times New Roman"/>
          <w:sz w:val="24"/>
          <w:szCs w:val="24"/>
          <w:lang w:val="es-ES_tradnl"/>
        </w:rPr>
        <w:t>bach's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alpha</w:t>
      </w:r>
      <w:proofErr w:type="spellEnd"/>
      <w:r w:rsidRPr="009E1104">
        <w:rPr>
          <w:rFonts w:ascii="Times New Roman" w:hAnsi="Times New Roman"/>
          <w:sz w:val="24"/>
          <w:szCs w:val="24"/>
          <w:lang w:val="es-ES_tradnl"/>
        </w:rPr>
        <w:t xml:space="preserve"> of 0.926 </w:t>
      </w:r>
      <w:proofErr w:type="spellStart"/>
      <w:r w:rsidRPr="009E1104">
        <w:rPr>
          <w:rFonts w:ascii="Times New Roman" w:hAnsi="Times New Roman"/>
          <w:sz w:val="24"/>
          <w:szCs w:val="24"/>
          <w:lang w:val="es-ES_tradnl"/>
        </w:rPr>
        <w:t>was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used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for</w:t>
      </w:r>
      <w:proofErr w:type="spellEnd"/>
      <w:r w:rsidRPr="009E1104">
        <w:rPr>
          <w:rFonts w:ascii="Times New Roman" w:hAnsi="Times New Roman"/>
          <w:sz w:val="24"/>
          <w:szCs w:val="24"/>
          <w:lang w:val="es-ES_tradnl"/>
        </w:rPr>
        <w:t xml:space="preserve"> data </w:t>
      </w:r>
      <w:proofErr w:type="spellStart"/>
      <w:r w:rsidRPr="009E1104">
        <w:rPr>
          <w:rFonts w:ascii="Times New Roman" w:hAnsi="Times New Roman"/>
          <w:sz w:val="24"/>
          <w:szCs w:val="24"/>
          <w:lang w:val="es-ES_tradnl"/>
        </w:rPr>
        <w:t>collection</w:t>
      </w:r>
      <w:proofErr w:type="spellEnd"/>
      <w:r w:rsidR="00125EDC">
        <w:rPr>
          <w:rFonts w:ascii="Times New Roman" w:hAnsi="Times New Roman"/>
          <w:sz w:val="24"/>
          <w:szCs w:val="24"/>
          <w:lang w:val="es-ES_tradnl"/>
        </w:rPr>
        <w:t>.</w:t>
      </w:r>
    </w:p>
    <w:p w14:paraId="2BE5B565" w14:textId="0CBA5832" w:rsidR="00C45509" w:rsidRPr="00CE4512" w:rsidRDefault="009E1104" w:rsidP="00E929D5">
      <w:pPr>
        <w:spacing w:line="480" w:lineRule="auto"/>
        <w:ind w:firstLine="425"/>
        <w:jc w:val="both"/>
        <w:rPr>
          <w:rFonts w:ascii="Times New Roman" w:hAnsi="Times New Roman"/>
          <w:sz w:val="24"/>
          <w:szCs w:val="24"/>
          <w:lang w:val="es-ES_tradnl"/>
        </w:rPr>
      </w:pP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variable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bone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was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classified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into</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three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categories</w:t>
      </w:r>
      <w:proofErr w:type="spellEnd"/>
      <w:r w:rsidRPr="009E1104">
        <w:rPr>
          <w:rFonts w:ascii="Times New Roman" w:hAnsi="Times New Roman"/>
          <w:sz w:val="24"/>
          <w:szCs w:val="24"/>
        </w:rPr>
        <w:t xml:space="preserve"> and </w:t>
      </w:r>
      <w:proofErr w:type="spellStart"/>
      <w:r w:rsidRPr="009E1104">
        <w:rPr>
          <w:rFonts w:ascii="Times New Roman" w:hAnsi="Times New Roman"/>
          <w:sz w:val="24"/>
          <w:szCs w:val="24"/>
        </w:rPr>
        <w:t>was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called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deficient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up to 6 </w:t>
      </w:r>
      <w:proofErr w:type="spellStart"/>
      <w:r w:rsidRPr="009E1104">
        <w:rPr>
          <w:rFonts w:ascii="Times New Roman" w:hAnsi="Times New Roman"/>
          <w:sz w:val="24"/>
          <w:szCs w:val="24"/>
        </w:rPr>
        <w:t>correct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answers</w:t>
      </w:r>
      <w:proofErr w:type="spellEnd"/>
      <w:r w:rsidRPr="009E1104">
        <w:rPr>
          <w:rFonts w:ascii="Times New Roman" w:hAnsi="Times New Roman"/>
          <w:sz w:val="24"/>
          <w:szCs w:val="24"/>
        </w:rPr>
        <w:t xml:space="preserve"> (0-6), </w:t>
      </w:r>
      <w:proofErr w:type="spellStart"/>
      <w:r w:rsidRPr="009E1104">
        <w:rPr>
          <w:rFonts w:ascii="Times New Roman" w:hAnsi="Times New Roman"/>
          <w:sz w:val="24"/>
          <w:szCs w:val="24"/>
        </w:rPr>
        <w:t>medium</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to </w:t>
      </w:r>
      <w:proofErr w:type="spellStart"/>
      <w:r w:rsidRPr="009E1104">
        <w:rPr>
          <w:rFonts w:ascii="Times New Roman" w:hAnsi="Times New Roman"/>
          <w:sz w:val="24"/>
          <w:szCs w:val="24"/>
        </w:rPr>
        <w:t>those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who</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obtained</w:t>
      </w:r>
      <w:proofErr w:type="spellEnd"/>
      <w:r w:rsidRPr="009E1104">
        <w:rPr>
          <w:rFonts w:ascii="Times New Roman" w:hAnsi="Times New Roman"/>
          <w:sz w:val="24"/>
          <w:szCs w:val="24"/>
        </w:rPr>
        <w:t xml:space="preserve"> 7 to 13 </w:t>
      </w:r>
      <w:proofErr w:type="spellStart"/>
      <w:r w:rsidRPr="009E1104">
        <w:rPr>
          <w:rFonts w:ascii="Times New Roman" w:hAnsi="Times New Roman"/>
          <w:sz w:val="24"/>
          <w:szCs w:val="24"/>
        </w:rPr>
        <w:t>correct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answers</w:t>
      </w:r>
      <w:proofErr w:type="spellEnd"/>
      <w:r w:rsidRPr="009E1104">
        <w:rPr>
          <w:rFonts w:ascii="Times New Roman" w:hAnsi="Times New Roman"/>
          <w:sz w:val="24"/>
          <w:szCs w:val="24"/>
        </w:rPr>
        <w:t xml:space="preserve"> (7-13)</w:t>
      </w:r>
      <w:r w:rsidR="00AB63A7">
        <w:rPr>
          <w:rFonts w:ascii="Times New Roman" w:hAnsi="Times New Roman"/>
          <w:sz w:val="24"/>
          <w:szCs w:val="24"/>
        </w:rPr>
        <w:t>,</w:t>
      </w:r>
      <w:r w:rsidRPr="009E1104">
        <w:rPr>
          <w:rFonts w:ascii="Times New Roman" w:hAnsi="Times New Roman"/>
          <w:sz w:val="24"/>
          <w:szCs w:val="24"/>
        </w:rPr>
        <w:t xml:space="preserve"> and </w:t>
      </w:r>
      <w:proofErr w:type="spellStart"/>
      <w:r w:rsidRPr="009E1104">
        <w:rPr>
          <w:rFonts w:ascii="Times New Roman" w:hAnsi="Times New Roman"/>
          <w:sz w:val="24"/>
          <w:szCs w:val="24"/>
        </w:rPr>
        <w:t>high</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to </w:t>
      </w:r>
      <w:proofErr w:type="spellStart"/>
      <w:r w:rsidRPr="009E1104">
        <w:rPr>
          <w:rFonts w:ascii="Times New Roman" w:hAnsi="Times New Roman"/>
          <w:sz w:val="24"/>
          <w:szCs w:val="24"/>
        </w:rPr>
        <w:t>those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who</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obtained</w:t>
      </w:r>
      <w:proofErr w:type="spellEnd"/>
      <w:r w:rsidRPr="009E1104">
        <w:rPr>
          <w:rFonts w:ascii="Times New Roman" w:hAnsi="Times New Roman"/>
          <w:sz w:val="24"/>
          <w:szCs w:val="24"/>
        </w:rPr>
        <w:t xml:space="preserve"> more </w:t>
      </w:r>
      <w:proofErr w:type="spellStart"/>
      <w:r w:rsidRPr="009E1104">
        <w:rPr>
          <w:rFonts w:ascii="Times New Roman" w:hAnsi="Times New Roman"/>
          <w:sz w:val="24"/>
          <w:szCs w:val="24"/>
        </w:rPr>
        <w:t>than</w:t>
      </w:r>
      <w:proofErr w:type="spellEnd"/>
      <w:r w:rsidRPr="009E1104">
        <w:rPr>
          <w:rFonts w:ascii="Times New Roman" w:hAnsi="Times New Roman"/>
          <w:sz w:val="24"/>
          <w:szCs w:val="24"/>
        </w:rPr>
        <w:t xml:space="preserve"> 14 </w:t>
      </w:r>
      <w:proofErr w:type="spellStart"/>
      <w:r w:rsidRPr="009E1104">
        <w:rPr>
          <w:rFonts w:ascii="Times New Roman" w:hAnsi="Times New Roman"/>
          <w:sz w:val="24"/>
          <w:szCs w:val="24"/>
        </w:rPr>
        <w:t>correct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answers</w:t>
      </w:r>
      <w:proofErr w:type="spellEnd"/>
      <w:r w:rsidRPr="009E1104">
        <w:rPr>
          <w:rFonts w:ascii="Times New Roman" w:hAnsi="Times New Roman"/>
          <w:sz w:val="24"/>
          <w:szCs w:val="24"/>
        </w:rPr>
        <w:t xml:space="preserve"> (14-20).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presence</w:t>
      </w:r>
      <w:proofErr w:type="spellEnd"/>
      <w:r w:rsidRPr="009E1104">
        <w:rPr>
          <w:rFonts w:ascii="Times New Roman" w:hAnsi="Times New Roman"/>
          <w:sz w:val="24"/>
          <w:szCs w:val="24"/>
        </w:rPr>
        <w:t xml:space="preserve"> of osteoporosis </w:t>
      </w:r>
      <w:proofErr w:type="spellStart"/>
      <w:r w:rsidRPr="009E1104">
        <w:rPr>
          <w:rFonts w:ascii="Times New Roman" w:hAnsi="Times New Roman"/>
          <w:sz w:val="24"/>
          <w:szCs w:val="24"/>
        </w:rPr>
        <w:t>was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reference</w:t>
      </w:r>
      <w:proofErr w:type="spellEnd"/>
      <w:r w:rsidRPr="009E1104">
        <w:rPr>
          <w:rFonts w:ascii="Times New Roman" w:hAnsi="Times New Roman"/>
          <w:sz w:val="24"/>
          <w:szCs w:val="24"/>
        </w:rPr>
        <w:t xml:space="preserve"> </w:t>
      </w:r>
      <w:r w:rsidR="00AB63A7">
        <w:rPr>
          <w:rFonts w:ascii="Times New Roman" w:hAnsi="Times New Roman"/>
          <w:sz w:val="24"/>
          <w:szCs w:val="24"/>
        </w:rPr>
        <w:t>to</w:t>
      </w:r>
      <w:r w:rsidRPr="009E1104">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participants</w:t>
      </w:r>
      <w:proofErr w:type="spellEnd"/>
      <w:r w:rsidR="00D22D84" w:rsidRPr="00CE4512">
        <w:rPr>
          <w:rFonts w:ascii="Times New Roman" w:hAnsi="Times New Roman"/>
          <w:sz w:val="24"/>
          <w:szCs w:val="24"/>
        </w:rPr>
        <w:t>.</w:t>
      </w:r>
    </w:p>
    <w:p w14:paraId="266CB657" w14:textId="5031668D" w:rsidR="00C45509" w:rsidRDefault="009E1104" w:rsidP="00E929D5">
      <w:pPr>
        <w:spacing w:line="480" w:lineRule="auto"/>
        <w:ind w:firstLine="425"/>
        <w:jc w:val="both"/>
        <w:rPr>
          <w:rFonts w:ascii="Times New Roman" w:hAnsi="Times New Roman"/>
          <w:sz w:val="24"/>
          <w:szCs w:val="24"/>
          <w:lang w:val="es-ES_tradnl"/>
        </w:rPr>
      </w:pPr>
      <w:proofErr w:type="spellStart"/>
      <w:r w:rsidRPr="009E1104">
        <w:rPr>
          <w:rFonts w:ascii="Times New Roman" w:hAnsi="Times New Roman"/>
          <w:sz w:val="24"/>
          <w:szCs w:val="24"/>
          <w:lang w:val="es-ES_tradnl"/>
        </w:rPr>
        <w:t>For</w:t>
      </w:r>
      <w:proofErr w:type="spellEnd"/>
      <w:r w:rsidRPr="009E1104">
        <w:rPr>
          <w:rFonts w:ascii="Times New Roman" w:hAnsi="Times New Roman"/>
          <w:sz w:val="24"/>
          <w:szCs w:val="24"/>
          <w:lang w:val="es-ES_tradnl"/>
        </w:rPr>
        <w:t xml:space="preserve"> data </w:t>
      </w:r>
      <w:proofErr w:type="spellStart"/>
      <w:r w:rsidRPr="009E1104">
        <w:rPr>
          <w:rFonts w:ascii="Times New Roman" w:hAnsi="Times New Roman"/>
          <w:sz w:val="24"/>
          <w:szCs w:val="24"/>
          <w:lang w:val="es-ES_tradnl"/>
        </w:rPr>
        <w:t>processing</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analysis</w:t>
      </w:r>
      <w:proofErr w:type="spellEnd"/>
      <w:r w:rsidRPr="009E1104">
        <w:rPr>
          <w:rFonts w:ascii="Times New Roman" w:hAnsi="Times New Roman"/>
          <w:sz w:val="24"/>
          <w:szCs w:val="24"/>
          <w:lang w:val="es-ES_tradnl"/>
        </w:rPr>
        <w:t xml:space="preserve">, Excel </w:t>
      </w:r>
      <w:proofErr w:type="spellStart"/>
      <w:r w:rsidRPr="009E1104">
        <w:rPr>
          <w:rFonts w:ascii="Times New Roman" w:hAnsi="Times New Roman"/>
          <w:sz w:val="24"/>
          <w:szCs w:val="24"/>
          <w:lang w:val="es-ES_tradnl"/>
        </w:rPr>
        <w:t>program</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version</w:t>
      </w:r>
      <w:proofErr w:type="spellEnd"/>
      <w:r w:rsidRPr="009E1104">
        <w:rPr>
          <w:rFonts w:ascii="Times New Roman" w:hAnsi="Times New Roman"/>
          <w:sz w:val="24"/>
          <w:szCs w:val="24"/>
          <w:lang w:val="es-ES_tradnl"/>
        </w:rPr>
        <w:t xml:space="preserve"> 2013 </w:t>
      </w:r>
      <w:proofErr w:type="spellStart"/>
      <w:r w:rsidRPr="009E1104">
        <w:rPr>
          <w:rFonts w:ascii="Times New Roman" w:hAnsi="Times New Roman"/>
          <w:sz w:val="24"/>
          <w:szCs w:val="24"/>
          <w:lang w:val="es-ES_tradnl"/>
        </w:rPr>
        <w:t>was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used</w:t>
      </w:r>
      <w:proofErr w:type="spellEnd"/>
      <w:r w:rsidRPr="009E1104">
        <w:rPr>
          <w:rFonts w:ascii="Times New Roman" w:hAnsi="Times New Roman"/>
          <w:sz w:val="24"/>
          <w:szCs w:val="24"/>
          <w:lang w:val="es-ES_tradnl"/>
        </w:rPr>
        <w:t xml:space="preserve"> to describe </w:t>
      </w:r>
      <w:proofErr w:type="spellStart"/>
      <w:r w:rsidRPr="009E1104">
        <w:rPr>
          <w:rFonts w:ascii="Times New Roman" w:hAnsi="Times New Roman"/>
          <w:sz w:val="24"/>
          <w:szCs w:val="24"/>
          <w:lang w:val="es-ES_tradnl"/>
        </w:rPr>
        <w:t>the</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measures</w:t>
      </w:r>
      <w:proofErr w:type="spellEnd"/>
      <w:r w:rsidRPr="009E1104">
        <w:rPr>
          <w:rFonts w:ascii="Times New Roman" w:hAnsi="Times New Roman"/>
          <w:sz w:val="24"/>
          <w:szCs w:val="24"/>
          <w:lang w:val="es-ES_tradnl"/>
        </w:rPr>
        <w:t xml:space="preserve"> of central </w:t>
      </w:r>
      <w:proofErr w:type="spellStart"/>
      <w:r w:rsidRPr="009E1104">
        <w:rPr>
          <w:rFonts w:ascii="Times New Roman" w:hAnsi="Times New Roman"/>
          <w:sz w:val="24"/>
          <w:szCs w:val="24"/>
          <w:lang w:val="es-ES_tradnl"/>
        </w:rPr>
        <w:t>tendency</w:t>
      </w:r>
      <w:proofErr w:type="spellEnd"/>
      <w:r w:rsidRPr="009E1104">
        <w:rPr>
          <w:rFonts w:ascii="Times New Roman" w:hAnsi="Times New Roman"/>
          <w:sz w:val="24"/>
          <w:szCs w:val="24"/>
          <w:lang w:val="es-ES_tradnl"/>
        </w:rPr>
        <w:t xml:space="preserve"> and </w:t>
      </w:r>
      <w:proofErr w:type="spellStart"/>
      <w:r w:rsidRPr="009E1104">
        <w:rPr>
          <w:rFonts w:ascii="Times New Roman" w:hAnsi="Times New Roman"/>
          <w:sz w:val="24"/>
          <w:szCs w:val="24"/>
          <w:lang w:val="es-ES_tradnl"/>
        </w:rPr>
        <w:t>variability</w:t>
      </w:r>
      <w:proofErr w:type="spellEnd"/>
      <w:r w:rsidRPr="009E1104">
        <w:rPr>
          <w:rFonts w:ascii="Times New Roman" w:hAnsi="Times New Roman"/>
          <w:sz w:val="24"/>
          <w:szCs w:val="24"/>
          <w:lang w:val="es-ES_tradnl"/>
        </w:rPr>
        <w:t xml:space="preserve">. SPSS 25.0 software </w:t>
      </w:r>
      <w:proofErr w:type="spellStart"/>
      <w:r w:rsidRPr="009E1104">
        <w:rPr>
          <w:rFonts w:ascii="Times New Roman" w:hAnsi="Times New Roman"/>
          <w:sz w:val="24"/>
          <w:szCs w:val="24"/>
          <w:lang w:val="es-ES_tradnl"/>
        </w:rPr>
        <w:t>was</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employed</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using</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Spearman's</w:t>
      </w:r>
      <w:proofErr w:type="spellEnd"/>
      <w:r w:rsidRPr="009E1104">
        <w:rPr>
          <w:rFonts w:ascii="Times New Roman" w:hAnsi="Times New Roman"/>
          <w:sz w:val="24"/>
          <w:szCs w:val="24"/>
          <w:lang w:val="es-ES_tradnl"/>
        </w:rPr>
        <w:t xml:space="preserve"> Rho </w:t>
      </w:r>
      <w:proofErr w:type="spellStart"/>
      <w:r w:rsidRPr="009E1104">
        <w:rPr>
          <w:rFonts w:ascii="Times New Roman" w:hAnsi="Times New Roman"/>
          <w:sz w:val="24"/>
          <w:szCs w:val="24"/>
          <w:lang w:val="es-ES_tradnl"/>
        </w:rPr>
        <w:t>statistical</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design</w:t>
      </w:r>
      <w:proofErr w:type="spellEnd"/>
      <w:r w:rsidRPr="009E1104">
        <w:rPr>
          <w:rFonts w:ascii="Times New Roman" w:hAnsi="Times New Roman"/>
          <w:sz w:val="24"/>
          <w:szCs w:val="24"/>
          <w:lang w:val="es-ES_tradnl"/>
        </w:rPr>
        <w:t xml:space="preserve"> </w:t>
      </w:r>
      <w:proofErr w:type="spellStart"/>
      <w:r w:rsidRPr="009E1104">
        <w:rPr>
          <w:rFonts w:ascii="Times New Roman" w:hAnsi="Times New Roman"/>
          <w:sz w:val="24"/>
          <w:szCs w:val="24"/>
          <w:lang w:val="es-ES_tradnl"/>
        </w:rPr>
        <w:t>with</w:t>
      </w:r>
      <w:proofErr w:type="spellEnd"/>
      <w:r w:rsidRPr="009E1104">
        <w:rPr>
          <w:rFonts w:ascii="Times New Roman" w:hAnsi="Times New Roman"/>
          <w:sz w:val="24"/>
          <w:szCs w:val="24"/>
          <w:lang w:val="es-ES_tradnl"/>
        </w:rPr>
        <w:t xml:space="preserve"> 95% </w:t>
      </w:r>
      <w:proofErr w:type="spellStart"/>
      <w:r w:rsidRPr="009E1104">
        <w:rPr>
          <w:rFonts w:ascii="Times New Roman" w:hAnsi="Times New Roman"/>
          <w:sz w:val="24"/>
          <w:szCs w:val="24"/>
          <w:lang w:val="es-ES_tradnl"/>
        </w:rPr>
        <w:t>accuracy</w:t>
      </w:r>
      <w:proofErr w:type="spellEnd"/>
      <w:r w:rsidR="002D6343" w:rsidRPr="00CE4512">
        <w:rPr>
          <w:rFonts w:ascii="Times New Roman" w:hAnsi="Times New Roman"/>
          <w:sz w:val="24"/>
          <w:szCs w:val="24"/>
          <w:lang w:val="es-ES_tradnl"/>
        </w:rPr>
        <w:t>.</w:t>
      </w:r>
    </w:p>
    <w:p w14:paraId="00B8B1F5" w14:textId="77777777" w:rsidR="009E1104" w:rsidRDefault="009E1104" w:rsidP="00E929D5">
      <w:pPr>
        <w:pStyle w:val="Prrafodelista"/>
        <w:spacing w:line="480" w:lineRule="auto"/>
        <w:ind w:left="0"/>
        <w:rPr>
          <w:rFonts w:eastAsia="Calibri"/>
          <w:b/>
          <w:lang w:eastAsia="en-US"/>
        </w:rPr>
      </w:pPr>
      <w:r w:rsidRPr="009E1104">
        <w:rPr>
          <w:rFonts w:eastAsia="Calibri"/>
          <w:b/>
          <w:lang w:eastAsia="en-US"/>
        </w:rPr>
        <w:t>RESULTS AND DISCUSSION</w:t>
      </w:r>
    </w:p>
    <w:p w14:paraId="4EAC6244" w14:textId="535415F9" w:rsidR="009E1104" w:rsidRPr="009E1104" w:rsidRDefault="00C45509" w:rsidP="00E929D5">
      <w:pPr>
        <w:pStyle w:val="Prrafodelista"/>
        <w:spacing w:line="480" w:lineRule="auto"/>
        <w:ind w:left="0"/>
        <w:rPr>
          <w:b/>
          <w:bCs/>
          <w:iCs/>
        </w:rPr>
      </w:pPr>
      <w:proofErr w:type="spellStart"/>
      <w:r w:rsidRPr="009E1104">
        <w:rPr>
          <w:b/>
          <w:bCs/>
          <w:iCs/>
        </w:rPr>
        <w:t>Tabl</w:t>
      </w:r>
      <w:r w:rsidR="009E1104" w:rsidRPr="009E1104">
        <w:rPr>
          <w:b/>
          <w:bCs/>
          <w:iCs/>
        </w:rPr>
        <w:t>e</w:t>
      </w:r>
      <w:proofErr w:type="spellEnd"/>
      <w:r w:rsidRPr="009E1104">
        <w:rPr>
          <w:b/>
          <w:bCs/>
          <w:iCs/>
        </w:rPr>
        <w:t xml:space="preserve"> </w:t>
      </w:r>
      <w:r w:rsidR="00CD0E97" w:rsidRPr="009E1104">
        <w:rPr>
          <w:b/>
          <w:bCs/>
          <w:iCs/>
        </w:rPr>
        <w:t xml:space="preserve">1 </w:t>
      </w:r>
    </w:p>
    <w:p w14:paraId="7F330F26" w14:textId="0F321D6B" w:rsidR="00C45509" w:rsidRPr="009E1104" w:rsidRDefault="009E1104" w:rsidP="00E929D5">
      <w:pPr>
        <w:pStyle w:val="Prrafodelista"/>
        <w:spacing w:line="480" w:lineRule="auto"/>
        <w:ind w:left="0"/>
        <w:rPr>
          <w:bCs/>
          <w:i/>
          <w:iCs/>
        </w:rPr>
      </w:pPr>
      <w:proofErr w:type="spellStart"/>
      <w:r w:rsidRPr="009E1104">
        <w:rPr>
          <w:i/>
          <w:iCs/>
        </w:rPr>
        <w:t>Characteristics</w:t>
      </w:r>
      <w:proofErr w:type="spellEnd"/>
      <w:r w:rsidRPr="009E1104">
        <w:rPr>
          <w:i/>
          <w:iCs/>
        </w:rPr>
        <w:t xml:space="preserve"> of </w:t>
      </w:r>
      <w:proofErr w:type="spellStart"/>
      <w:r w:rsidRPr="009E1104">
        <w:rPr>
          <w:i/>
          <w:iCs/>
        </w:rPr>
        <w:t>the</w:t>
      </w:r>
      <w:proofErr w:type="spellEnd"/>
      <w:r w:rsidRPr="009E1104">
        <w:rPr>
          <w:i/>
          <w:iCs/>
        </w:rPr>
        <w:t xml:space="preserve"> </w:t>
      </w:r>
      <w:proofErr w:type="spellStart"/>
      <w:r w:rsidRPr="009E1104">
        <w:rPr>
          <w:i/>
          <w:iCs/>
        </w:rPr>
        <w:t>study</w:t>
      </w:r>
      <w:proofErr w:type="spellEnd"/>
      <w:r w:rsidRPr="009E1104">
        <w:rPr>
          <w:i/>
          <w:iCs/>
        </w:rPr>
        <w:t xml:space="preserve"> </w:t>
      </w:r>
      <w:proofErr w:type="spellStart"/>
      <w:r w:rsidRPr="009E1104">
        <w:rPr>
          <w:i/>
          <w:iCs/>
        </w:rPr>
        <w:t>population</w:t>
      </w:r>
      <w:proofErr w:type="spellEnd"/>
    </w:p>
    <w:tbl>
      <w:tblPr>
        <w:tblW w:w="6399" w:type="dxa"/>
        <w:tblInd w:w="426" w:type="dxa"/>
        <w:tblCellMar>
          <w:left w:w="70" w:type="dxa"/>
          <w:right w:w="70" w:type="dxa"/>
        </w:tblCellMar>
        <w:tblLook w:val="04A0" w:firstRow="1" w:lastRow="0" w:firstColumn="1" w:lastColumn="0" w:noHBand="0" w:noVBand="1"/>
      </w:tblPr>
      <w:tblGrid>
        <w:gridCol w:w="1799"/>
        <w:gridCol w:w="1140"/>
        <w:gridCol w:w="1140"/>
        <w:gridCol w:w="1120"/>
        <w:gridCol w:w="1200"/>
      </w:tblGrid>
      <w:tr w:rsidR="00CD0E97" w:rsidRPr="00CE4512" w14:paraId="6E5A3E17" w14:textId="77777777" w:rsidTr="009E1104">
        <w:trPr>
          <w:trHeight w:val="590"/>
        </w:trPr>
        <w:tc>
          <w:tcPr>
            <w:tcW w:w="1799" w:type="dxa"/>
            <w:tcBorders>
              <w:top w:val="single" w:sz="8" w:space="0" w:color="auto"/>
              <w:left w:val="nil"/>
              <w:bottom w:val="single" w:sz="8" w:space="0" w:color="auto"/>
              <w:right w:val="nil"/>
            </w:tcBorders>
            <w:shd w:val="clear" w:color="000000" w:fill="FFFFFF"/>
            <w:vAlign w:val="center"/>
            <w:hideMark/>
          </w:tcPr>
          <w:p w14:paraId="64D91BCA" w14:textId="7E17F3A8" w:rsidR="00CD0E97" w:rsidRPr="00CE4512" w:rsidRDefault="009E1104" w:rsidP="00E929D5">
            <w:pPr>
              <w:spacing w:after="0" w:line="240" w:lineRule="auto"/>
              <w:ind w:firstLine="67"/>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color w:val="000000"/>
                <w:sz w:val="24"/>
                <w:szCs w:val="24"/>
                <w:lang w:eastAsia="es-PE"/>
              </w:rPr>
              <w:t>Characteristics</w:t>
            </w:r>
            <w:proofErr w:type="spellEnd"/>
          </w:p>
        </w:tc>
        <w:tc>
          <w:tcPr>
            <w:tcW w:w="1140" w:type="dxa"/>
            <w:tcBorders>
              <w:top w:val="single" w:sz="8" w:space="0" w:color="auto"/>
              <w:left w:val="nil"/>
              <w:bottom w:val="single" w:sz="8" w:space="0" w:color="auto"/>
              <w:right w:val="nil"/>
            </w:tcBorders>
            <w:shd w:val="clear" w:color="000000" w:fill="FFFFFF"/>
            <w:vAlign w:val="center"/>
            <w:hideMark/>
          </w:tcPr>
          <w:p w14:paraId="780BFF4D" w14:textId="0D93DA99"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Minimum</w:t>
            </w:r>
            <w:proofErr w:type="spellEnd"/>
          </w:p>
        </w:tc>
        <w:tc>
          <w:tcPr>
            <w:tcW w:w="1140" w:type="dxa"/>
            <w:tcBorders>
              <w:top w:val="single" w:sz="8" w:space="0" w:color="auto"/>
              <w:left w:val="nil"/>
              <w:bottom w:val="single" w:sz="8" w:space="0" w:color="auto"/>
              <w:right w:val="nil"/>
            </w:tcBorders>
            <w:shd w:val="clear" w:color="000000" w:fill="FFFFFF"/>
            <w:vAlign w:val="center"/>
            <w:hideMark/>
          </w:tcPr>
          <w:p w14:paraId="7F4E34E4" w14:textId="1BFF9476"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Maximum</w:t>
            </w:r>
            <w:proofErr w:type="spellEnd"/>
          </w:p>
        </w:tc>
        <w:tc>
          <w:tcPr>
            <w:tcW w:w="1120" w:type="dxa"/>
            <w:tcBorders>
              <w:top w:val="single" w:sz="8" w:space="0" w:color="auto"/>
              <w:left w:val="nil"/>
              <w:bottom w:val="single" w:sz="8" w:space="0" w:color="auto"/>
              <w:right w:val="nil"/>
            </w:tcBorders>
            <w:shd w:val="clear" w:color="000000" w:fill="FFFFFF"/>
            <w:vAlign w:val="center"/>
            <w:hideMark/>
          </w:tcPr>
          <w:p w14:paraId="764FFBD9" w14:textId="51921C14"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proofErr w:type="spellStart"/>
            <w:r w:rsidRPr="009E1104">
              <w:rPr>
                <w:rFonts w:ascii="Times New Roman" w:eastAsia="Times New Roman" w:hAnsi="Times New Roman"/>
                <w:sz w:val="24"/>
                <w:szCs w:val="24"/>
                <w:lang w:eastAsia="es-PE"/>
              </w:rPr>
              <w:t>Average</w:t>
            </w:r>
            <w:proofErr w:type="spellEnd"/>
          </w:p>
        </w:tc>
        <w:tc>
          <w:tcPr>
            <w:tcW w:w="1200" w:type="dxa"/>
            <w:tcBorders>
              <w:top w:val="single" w:sz="8" w:space="0" w:color="auto"/>
              <w:left w:val="nil"/>
              <w:bottom w:val="single" w:sz="8" w:space="0" w:color="auto"/>
              <w:right w:val="nil"/>
            </w:tcBorders>
            <w:shd w:val="clear" w:color="000000" w:fill="FFFFFF"/>
            <w:vAlign w:val="center"/>
            <w:hideMark/>
          </w:tcPr>
          <w:p w14:paraId="757D98C2" w14:textId="5DAB7CBA" w:rsidR="00CD0E97" w:rsidRPr="00CE4512" w:rsidRDefault="009E1104" w:rsidP="00E929D5">
            <w:pPr>
              <w:spacing w:after="0" w:line="240" w:lineRule="auto"/>
              <w:jc w:val="center"/>
              <w:rPr>
                <w:rFonts w:ascii="Times New Roman" w:eastAsia="Times New Roman" w:hAnsi="Times New Roman"/>
                <w:color w:val="000000"/>
                <w:sz w:val="24"/>
                <w:szCs w:val="24"/>
                <w:lang w:val="es-PE" w:eastAsia="es-PE"/>
              </w:rPr>
            </w:pPr>
            <w:r w:rsidRPr="009E1104">
              <w:rPr>
                <w:rFonts w:ascii="Times New Roman" w:eastAsia="Times New Roman" w:hAnsi="Times New Roman"/>
                <w:sz w:val="24"/>
                <w:szCs w:val="24"/>
                <w:lang w:eastAsia="es-PE"/>
              </w:rPr>
              <w:t xml:space="preserve">Standard </w:t>
            </w:r>
            <w:proofErr w:type="spellStart"/>
            <w:r w:rsidRPr="009E1104">
              <w:rPr>
                <w:rFonts w:ascii="Times New Roman" w:eastAsia="Times New Roman" w:hAnsi="Times New Roman"/>
                <w:sz w:val="24"/>
                <w:szCs w:val="24"/>
                <w:lang w:eastAsia="es-PE"/>
              </w:rPr>
              <w:t>Deviation</w:t>
            </w:r>
            <w:proofErr w:type="spellEnd"/>
          </w:p>
        </w:tc>
      </w:tr>
      <w:tr w:rsidR="009E1104" w:rsidRPr="00CE4512" w14:paraId="4D20CA91" w14:textId="77777777" w:rsidTr="009E1104">
        <w:trPr>
          <w:trHeight w:val="290"/>
        </w:trPr>
        <w:tc>
          <w:tcPr>
            <w:tcW w:w="1799" w:type="dxa"/>
            <w:tcBorders>
              <w:top w:val="nil"/>
              <w:left w:val="nil"/>
              <w:bottom w:val="nil"/>
              <w:right w:val="nil"/>
            </w:tcBorders>
            <w:shd w:val="clear" w:color="000000" w:fill="FFFFFF"/>
            <w:hideMark/>
          </w:tcPr>
          <w:p w14:paraId="170CDCB0" w14:textId="7FAEE6A0"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w:t>
            </w:r>
          </w:p>
        </w:tc>
        <w:tc>
          <w:tcPr>
            <w:tcW w:w="1140" w:type="dxa"/>
            <w:tcBorders>
              <w:top w:val="nil"/>
              <w:left w:val="nil"/>
              <w:bottom w:val="nil"/>
              <w:right w:val="nil"/>
            </w:tcBorders>
            <w:shd w:val="clear" w:color="000000" w:fill="FFFFFF"/>
            <w:vAlign w:val="center"/>
            <w:hideMark/>
          </w:tcPr>
          <w:p w14:paraId="637B07CE"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41</w:t>
            </w:r>
          </w:p>
        </w:tc>
        <w:tc>
          <w:tcPr>
            <w:tcW w:w="1140" w:type="dxa"/>
            <w:tcBorders>
              <w:top w:val="nil"/>
              <w:left w:val="nil"/>
              <w:bottom w:val="nil"/>
              <w:right w:val="nil"/>
            </w:tcBorders>
            <w:shd w:val="clear" w:color="000000" w:fill="FFFFFF"/>
            <w:vAlign w:val="center"/>
            <w:hideMark/>
          </w:tcPr>
          <w:p w14:paraId="01E748B3"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72</w:t>
            </w:r>
          </w:p>
        </w:tc>
        <w:tc>
          <w:tcPr>
            <w:tcW w:w="1120" w:type="dxa"/>
            <w:tcBorders>
              <w:top w:val="nil"/>
              <w:left w:val="nil"/>
              <w:bottom w:val="nil"/>
              <w:right w:val="nil"/>
            </w:tcBorders>
            <w:shd w:val="clear" w:color="000000" w:fill="FFFFFF"/>
            <w:vAlign w:val="center"/>
            <w:hideMark/>
          </w:tcPr>
          <w:p w14:paraId="20DCACD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55.33</w:t>
            </w:r>
          </w:p>
        </w:tc>
        <w:tc>
          <w:tcPr>
            <w:tcW w:w="1200" w:type="dxa"/>
            <w:tcBorders>
              <w:top w:val="nil"/>
              <w:left w:val="nil"/>
              <w:bottom w:val="nil"/>
              <w:right w:val="nil"/>
            </w:tcBorders>
            <w:shd w:val="clear" w:color="000000" w:fill="FFFFFF"/>
            <w:vAlign w:val="center"/>
            <w:hideMark/>
          </w:tcPr>
          <w:p w14:paraId="4CE01F62"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9.09</w:t>
            </w:r>
          </w:p>
        </w:tc>
      </w:tr>
      <w:tr w:rsidR="009E1104" w:rsidRPr="00CE4512" w14:paraId="17D6CB2A" w14:textId="77777777" w:rsidTr="009E1104">
        <w:trPr>
          <w:trHeight w:val="290"/>
        </w:trPr>
        <w:tc>
          <w:tcPr>
            <w:tcW w:w="1799" w:type="dxa"/>
            <w:tcBorders>
              <w:top w:val="nil"/>
              <w:left w:val="nil"/>
              <w:bottom w:val="nil"/>
              <w:right w:val="nil"/>
            </w:tcBorders>
            <w:shd w:val="clear" w:color="000000" w:fill="FFFFFF"/>
            <w:hideMark/>
          </w:tcPr>
          <w:p w14:paraId="7E07FFF4" w14:textId="7023807B"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Height</w:t>
            </w:r>
            <w:proofErr w:type="spellEnd"/>
            <w:r w:rsidRPr="009E1104">
              <w:rPr>
                <w:rFonts w:ascii="Times New Roman" w:hAnsi="Times New Roman"/>
                <w:sz w:val="24"/>
                <w:szCs w:val="24"/>
              </w:rPr>
              <w:t xml:space="preserve"> (m.)</w:t>
            </w:r>
          </w:p>
        </w:tc>
        <w:tc>
          <w:tcPr>
            <w:tcW w:w="1140" w:type="dxa"/>
            <w:tcBorders>
              <w:top w:val="nil"/>
              <w:left w:val="nil"/>
              <w:bottom w:val="nil"/>
              <w:right w:val="nil"/>
            </w:tcBorders>
            <w:shd w:val="clear" w:color="000000" w:fill="FFFFFF"/>
            <w:vAlign w:val="center"/>
            <w:hideMark/>
          </w:tcPr>
          <w:p w14:paraId="13F32755"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1.4</w:t>
            </w:r>
          </w:p>
        </w:tc>
        <w:tc>
          <w:tcPr>
            <w:tcW w:w="1140" w:type="dxa"/>
            <w:tcBorders>
              <w:top w:val="nil"/>
              <w:left w:val="nil"/>
              <w:bottom w:val="nil"/>
              <w:right w:val="nil"/>
            </w:tcBorders>
            <w:shd w:val="clear" w:color="000000" w:fill="FFFFFF"/>
            <w:vAlign w:val="center"/>
            <w:hideMark/>
          </w:tcPr>
          <w:p w14:paraId="7238ACBC"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1.82</w:t>
            </w:r>
          </w:p>
        </w:tc>
        <w:tc>
          <w:tcPr>
            <w:tcW w:w="1120" w:type="dxa"/>
            <w:tcBorders>
              <w:top w:val="nil"/>
              <w:left w:val="nil"/>
              <w:bottom w:val="nil"/>
              <w:right w:val="nil"/>
            </w:tcBorders>
            <w:shd w:val="clear" w:color="000000" w:fill="FFFFFF"/>
            <w:vAlign w:val="center"/>
            <w:hideMark/>
          </w:tcPr>
          <w:p w14:paraId="0347A5B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1.61</w:t>
            </w:r>
          </w:p>
        </w:tc>
        <w:tc>
          <w:tcPr>
            <w:tcW w:w="1200" w:type="dxa"/>
            <w:tcBorders>
              <w:top w:val="nil"/>
              <w:left w:val="nil"/>
              <w:bottom w:val="nil"/>
              <w:right w:val="nil"/>
            </w:tcBorders>
            <w:shd w:val="clear" w:color="000000" w:fill="FFFFFF"/>
            <w:vAlign w:val="center"/>
            <w:hideMark/>
          </w:tcPr>
          <w:p w14:paraId="6EADAD1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0.08</w:t>
            </w:r>
          </w:p>
        </w:tc>
      </w:tr>
      <w:tr w:rsidR="009E1104" w:rsidRPr="00CE4512" w14:paraId="34825F83" w14:textId="77777777" w:rsidTr="009E1104">
        <w:trPr>
          <w:trHeight w:val="290"/>
        </w:trPr>
        <w:tc>
          <w:tcPr>
            <w:tcW w:w="1799" w:type="dxa"/>
            <w:tcBorders>
              <w:top w:val="nil"/>
              <w:left w:val="nil"/>
              <w:bottom w:val="nil"/>
              <w:right w:val="nil"/>
            </w:tcBorders>
            <w:shd w:val="clear" w:color="000000" w:fill="FFFFFF"/>
            <w:hideMark/>
          </w:tcPr>
          <w:p w14:paraId="263CD975" w14:textId="61AF07D0" w:rsidR="009E1104" w:rsidRPr="009E1104" w:rsidRDefault="009E1104" w:rsidP="009E1104">
            <w:pPr>
              <w:spacing w:after="0" w:line="240" w:lineRule="auto"/>
              <w:rPr>
                <w:rFonts w:ascii="Times New Roman" w:eastAsia="Times New Roman" w:hAnsi="Times New Roman"/>
                <w:color w:val="000000"/>
                <w:sz w:val="24"/>
                <w:szCs w:val="24"/>
                <w:lang w:val="es-PE" w:eastAsia="es-PE"/>
              </w:rPr>
            </w:pPr>
            <w:proofErr w:type="spellStart"/>
            <w:r w:rsidRPr="009E1104">
              <w:rPr>
                <w:rFonts w:ascii="Times New Roman" w:hAnsi="Times New Roman"/>
                <w:sz w:val="24"/>
                <w:szCs w:val="24"/>
              </w:rPr>
              <w:t>Weight</w:t>
            </w:r>
            <w:proofErr w:type="spellEnd"/>
            <w:r w:rsidRPr="009E1104">
              <w:rPr>
                <w:rFonts w:ascii="Times New Roman" w:hAnsi="Times New Roman"/>
                <w:sz w:val="24"/>
                <w:szCs w:val="24"/>
              </w:rPr>
              <w:t xml:space="preserve"> (kg)</w:t>
            </w:r>
          </w:p>
        </w:tc>
        <w:tc>
          <w:tcPr>
            <w:tcW w:w="1140" w:type="dxa"/>
            <w:tcBorders>
              <w:top w:val="nil"/>
              <w:left w:val="nil"/>
              <w:bottom w:val="nil"/>
              <w:right w:val="nil"/>
            </w:tcBorders>
            <w:shd w:val="clear" w:color="000000" w:fill="FFFFFF"/>
            <w:vAlign w:val="center"/>
            <w:hideMark/>
          </w:tcPr>
          <w:p w14:paraId="076F371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45</w:t>
            </w:r>
          </w:p>
        </w:tc>
        <w:tc>
          <w:tcPr>
            <w:tcW w:w="1140" w:type="dxa"/>
            <w:tcBorders>
              <w:top w:val="nil"/>
              <w:left w:val="nil"/>
              <w:bottom w:val="nil"/>
              <w:right w:val="nil"/>
            </w:tcBorders>
            <w:shd w:val="clear" w:color="000000" w:fill="FFFFFF"/>
            <w:vAlign w:val="center"/>
            <w:hideMark/>
          </w:tcPr>
          <w:p w14:paraId="50A25D07"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95</w:t>
            </w:r>
          </w:p>
        </w:tc>
        <w:tc>
          <w:tcPr>
            <w:tcW w:w="1120" w:type="dxa"/>
            <w:tcBorders>
              <w:top w:val="nil"/>
              <w:left w:val="nil"/>
              <w:bottom w:val="nil"/>
              <w:right w:val="nil"/>
            </w:tcBorders>
            <w:shd w:val="clear" w:color="000000" w:fill="FFFFFF"/>
            <w:vAlign w:val="center"/>
            <w:hideMark/>
          </w:tcPr>
          <w:p w14:paraId="7FD7BB4B"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67.74</w:t>
            </w:r>
          </w:p>
        </w:tc>
        <w:tc>
          <w:tcPr>
            <w:tcW w:w="1200" w:type="dxa"/>
            <w:tcBorders>
              <w:top w:val="nil"/>
              <w:left w:val="nil"/>
              <w:bottom w:val="nil"/>
              <w:right w:val="nil"/>
            </w:tcBorders>
            <w:shd w:val="clear" w:color="000000" w:fill="FFFFFF"/>
            <w:vAlign w:val="center"/>
            <w:hideMark/>
          </w:tcPr>
          <w:p w14:paraId="12391FB7"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10.78</w:t>
            </w:r>
          </w:p>
        </w:tc>
      </w:tr>
      <w:tr w:rsidR="009E1104" w:rsidRPr="00CE4512" w14:paraId="44843B11" w14:textId="77777777" w:rsidTr="009E1104">
        <w:trPr>
          <w:trHeight w:val="300"/>
        </w:trPr>
        <w:tc>
          <w:tcPr>
            <w:tcW w:w="1799" w:type="dxa"/>
            <w:tcBorders>
              <w:top w:val="nil"/>
              <w:left w:val="nil"/>
              <w:bottom w:val="single" w:sz="8" w:space="0" w:color="auto"/>
              <w:right w:val="nil"/>
            </w:tcBorders>
            <w:shd w:val="clear" w:color="000000" w:fill="FFFFFF"/>
            <w:hideMark/>
          </w:tcPr>
          <w:p w14:paraId="0896E8A1" w14:textId="29694ED2" w:rsidR="009E1104" w:rsidRPr="009E1104" w:rsidRDefault="009E1104" w:rsidP="009E1104">
            <w:pPr>
              <w:spacing w:after="0" w:line="240" w:lineRule="auto"/>
              <w:rPr>
                <w:rFonts w:ascii="Times New Roman" w:eastAsia="Times New Roman" w:hAnsi="Times New Roman"/>
                <w:color w:val="000000"/>
                <w:sz w:val="24"/>
                <w:szCs w:val="24"/>
                <w:vertAlign w:val="superscript"/>
                <w:lang w:val="es-PE" w:eastAsia="es-PE"/>
              </w:rPr>
            </w:pPr>
            <w:r w:rsidRPr="009E1104">
              <w:rPr>
                <w:rFonts w:ascii="Times New Roman" w:hAnsi="Times New Roman"/>
                <w:sz w:val="24"/>
                <w:szCs w:val="24"/>
              </w:rPr>
              <w:t>BMI (kg/m2</w:t>
            </w:r>
          </w:p>
        </w:tc>
        <w:tc>
          <w:tcPr>
            <w:tcW w:w="1140" w:type="dxa"/>
            <w:tcBorders>
              <w:top w:val="nil"/>
              <w:left w:val="nil"/>
              <w:bottom w:val="single" w:sz="8" w:space="0" w:color="auto"/>
              <w:right w:val="nil"/>
            </w:tcBorders>
            <w:shd w:val="clear" w:color="000000" w:fill="FFFFFF"/>
            <w:vAlign w:val="center"/>
            <w:hideMark/>
          </w:tcPr>
          <w:p w14:paraId="20671945"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20</w:t>
            </w:r>
          </w:p>
        </w:tc>
        <w:tc>
          <w:tcPr>
            <w:tcW w:w="1140" w:type="dxa"/>
            <w:tcBorders>
              <w:top w:val="nil"/>
              <w:left w:val="nil"/>
              <w:bottom w:val="single" w:sz="8" w:space="0" w:color="auto"/>
              <w:right w:val="nil"/>
            </w:tcBorders>
            <w:shd w:val="clear" w:color="000000" w:fill="FFFFFF"/>
            <w:vAlign w:val="center"/>
            <w:hideMark/>
          </w:tcPr>
          <w:p w14:paraId="2E41290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48</w:t>
            </w:r>
          </w:p>
        </w:tc>
        <w:tc>
          <w:tcPr>
            <w:tcW w:w="1120" w:type="dxa"/>
            <w:tcBorders>
              <w:top w:val="nil"/>
              <w:left w:val="nil"/>
              <w:bottom w:val="single" w:sz="8" w:space="0" w:color="auto"/>
              <w:right w:val="nil"/>
            </w:tcBorders>
            <w:shd w:val="clear" w:color="000000" w:fill="FFFFFF"/>
            <w:vAlign w:val="center"/>
            <w:hideMark/>
          </w:tcPr>
          <w:p w14:paraId="14D0F8BF"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26.06</w:t>
            </w:r>
          </w:p>
        </w:tc>
        <w:tc>
          <w:tcPr>
            <w:tcW w:w="1200" w:type="dxa"/>
            <w:tcBorders>
              <w:top w:val="nil"/>
              <w:left w:val="nil"/>
              <w:bottom w:val="single" w:sz="8" w:space="0" w:color="auto"/>
              <w:right w:val="nil"/>
            </w:tcBorders>
            <w:shd w:val="clear" w:color="000000" w:fill="FFFFFF"/>
            <w:vAlign w:val="center"/>
            <w:hideMark/>
          </w:tcPr>
          <w:p w14:paraId="2FE37820" w14:textId="77777777" w:rsidR="009E1104" w:rsidRPr="00CE4512" w:rsidRDefault="009E1104" w:rsidP="009E1104">
            <w:pPr>
              <w:spacing w:after="0" w:line="240" w:lineRule="auto"/>
              <w:jc w:val="center"/>
              <w:rPr>
                <w:rFonts w:ascii="Times New Roman" w:eastAsia="Times New Roman" w:hAnsi="Times New Roman"/>
                <w:color w:val="000000"/>
                <w:sz w:val="24"/>
                <w:szCs w:val="24"/>
                <w:lang w:val="es-PE" w:eastAsia="es-PE"/>
              </w:rPr>
            </w:pPr>
            <w:r w:rsidRPr="00CE4512">
              <w:rPr>
                <w:rFonts w:ascii="Times New Roman" w:eastAsia="Times New Roman" w:hAnsi="Times New Roman"/>
                <w:sz w:val="24"/>
                <w:szCs w:val="24"/>
                <w:lang w:eastAsia="es-PE"/>
              </w:rPr>
              <w:t>4.32</w:t>
            </w:r>
          </w:p>
        </w:tc>
      </w:tr>
      <w:tr w:rsidR="00CD0E97" w:rsidRPr="00CE4512" w14:paraId="2EE8B3EE" w14:textId="77777777" w:rsidTr="009E1104">
        <w:trPr>
          <w:trHeight w:val="290"/>
        </w:trPr>
        <w:tc>
          <w:tcPr>
            <w:tcW w:w="1799" w:type="dxa"/>
            <w:tcBorders>
              <w:top w:val="nil"/>
              <w:left w:val="nil"/>
              <w:bottom w:val="nil"/>
              <w:right w:val="nil"/>
            </w:tcBorders>
            <w:shd w:val="clear" w:color="auto" w:fill="auto"/>
            <w:noWrap/>
            <w:vAlign w:val="bottom"/>
            <w:hideMark/>
          </w:tcPr>
          <w:p w14:paraId="1FDAD40B" w14:textId="77777777" w:rsidR="00CD0E97" w:rsidRPr="00CE4512" w:rsidRDefault="00CD0E97" w:rsidP="00E929D5">
            <w:pPr>
              <w:spacing w:after="0" w:line="240" w:lineRule="auto"/>
              <w:jc w:val="center"/>
              <w:rPr>
                <w:rFonts w:ascii="Times New Roman" w:eastAsia="Times New Roman" w:hAnsi="Times New Roman"/>
                <w:color w:val="000000"/>
                <w:sz w:val="24"/>
                <w:szCs w:val="24"/>
                <w:lang w:val="es-PE" w:eastAsia="es-PE"/>
              </w:rPr>
            </w:pPr>
          </w:p>
        </w:tc>
        <w:tc>
          <w:tcPr>
            <w:tcW w:w="1140" w:type="dxa"/>
            <w:tcBorders>
              <w:top w:val="nil"/>
              <w:left w:val="nil"/>
              <w:bottom w:val="nil"/>
              <w:right w:val="nil"/>
            </w:tcBorders>
            <w:shd w:val="clear" w:color="auto" w:fill="auto"/>
            <w:noWrap/>
            <w:vAlign w:val="bottom"/>
            <w:hideMark/>
          </w:tcPr>
          <w:p w14:paraId="29056DCF"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140" w:type="dxa"/>
            <w:tcBorders>
              <w:top w:val="nil"/>
              <w:left w:val="nil"/>
              <w:bottom w:val="nil"/>
              <w:right w:val="nil"/>
            </w:tcBorders>
            <w:shd w:val="clear" w:color="auto" w:fill="auto"/>
            <w:noWrap/>
            <w:vAlign w:val="bottom"/>
            <w:hideMark/>
          </w:tcPr>
          <w:p w14:paraId="5052606F"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120" w:type="dxa"/>
            <w:tcBorders>
              <w:top w:val="nil"/>
              <w:left w:val="nil"/>
              <w:bottom w:val="nil"/>
              <w:right w:val="nil"/>
            </w:tcBorders>
            <w:shd w:val="clear" w:color="auto" w:fill="auto"/>
            <w:noWrap/>
            <w:vAlign w:val="bottom"/>
            <w:hideMark/>
          </w:tcPr>
          <w:p w14:paraId="034A720C"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c>
          <w:tcPr>
            <w:tcW w:w="1200" w:type="dxa"/>
            <w:tcBorders>
              <w:top w:val="nil"/>
              <w:left w:val="nil"/>
              <w:bottom w:val="nil"/>
              <w:right w:val="nil"/>
            </w:tcBorders>
            <w:shd w:val="clear" w:color="auto" w:fill="auto"/>
            <w:noWrap/>
            <w:vAlign w:val="bottom"/>
            <w:hideMark/>
          </w:tcPr>
          <w:p w14:paraId="5A05E32A" w14:textId="77777777" w:rsidR="00CD0E97" w:rsidRPr="00CE4512" w:rsidRDefault="00CD0E97" w:rsidP="00E929D5">
            <w:pPr>
              <w:spacing w:after="0" w:line="240" w:lineRule="auto"/>
              <w:rPr>
                <w:rFonts w:ascii="Times New Roman" w:eastAsia="Times New Roman" w:hAnsi="Times New Roman"/>
                <w:sz w:val="24"/>
                <w:szCs w:val="24"/>
                <w:lang w:val="es-PE" w:eastAsia="es-PE"/>
              </w:rPr>
            </w:pPr>
          </w:p>
        </w:tc>
      </w:tr>
    </w:tbl>
    <w:p w14:paraId="4DA9A9EF" w14:textId="63D61FF9" w:rsidR="009E1104" w:rsidRDefault="009E1104" w:rsidP="00E929D5">
      <w:pPr>
        <w:pStyle w:val="Prrafodelista"/>
        <w:spacing w:line="480" w:lineRule="auto"/>
        <w:ind w:left="0"/>
        <w:rPr>
          <w:rFonts w:eastAsia="Calibri"/>
          <w:lang w:eastAsia="en-US"/>
        </w:rPr>
      </w:pPr>
      <w:bookmarkStart w:id="1" w:name="_Toc31132729"/>
      <w:proofErr w:type="spellStart"/>
      <w:r w:rsidRPr="009E1104">
        <w:rPr>
          <w:rFonts w:eastAsia="Calibri"/>
          <w:lang w:eastAsia="en-US"/>
        </w:rPr>
        <w:lastRenderedPageBreak/>
        <w:t>The</w:t>
      </w:r>
      <w:proofErr w:type="spellEnd"/>
      <w:r w:rsidRPr="009E1104">
        <w:rPr>
          <w:rFonts w:eastAsia="Calibri"/>
          <w:lang w:eastAsia="en-US"/>
        </w:rPr>
        <w:t xml:space="preserve"> </w:t>
      </w:r>
      <w:proofErr w:type="spellStart"/>
      <w:r w:rsidRPr="009E1104">
        <w:rPr>
          <w:rFonts w:eastAsia="Calibri"/>
          <w:lang w:eastAsia="en-US"/>
        </w:rPr>
        <w:t>population</w:t>
      </w:r>
      <w:proofErr w:type="spellEnd"/>
      <w:r w:rsidRPr="009E1104">
        <w:rPr>
          <w:rFonts w:eastAsia="Calibri"/>
          <w:lang w:eastAsia="en-US"/>
        </w:rPr>
        <w:t xml:space="preserve"> </w:t>
      </w:r>
      <w:proofErr w:type="spellStart"/>
      <w:r w:rsidRPr="009E1104">
        <w:rPr>
          <w:rFonts w:eastAsia="Calibri"/>
          <w:lang w:eastAsia="en-US"/>
        </w:rPr>
        <w:t>studied</w:t>
      </w:r>
      <w:proofErr w:type="spellEnd"/>
      <w:r w:rsidRPr="009E1104">
        <w:rPr>
          <w:rFonts w:eastAsia="Calibri"/>
          <w:lang w:eastAsia="en-US"/>
        </w:rPr>
        <w:t xml:space="preserve"> </w:t>
      </w:r>
      <w:proofErr w:type="spellStart"/>
      <w:r w:rsidRPr="009E1104">
        <w:rPr>
          <w:rFonts w:eastAsia="Calibri"/>
          <w:lang w:eastAsia="en-US"/>
        </w:rPr>
        <w:t>had</w:t>
      </w:r>
      <w:proofErr w:type="spellEnd"/>
      <w:r w:rsidRPr="009E1104">
        <w:rPr>
          <w:rFonts w:eastAsia="Calibri"/>
          <w:lang w:eastAsia="en-US"/>
        </w:rPr>
        <w:t xml:space="preserve"> a mean </w:t>
      </w:r>
      <w:proofErr w:type="spellStart"/>
      <w:r w:rsidRPr="009E1104">
        <w:rPr>
          <w:rFonts w:eastAsia="Calibri"/>
          <w:lang w:eastAsia="en-US"/>
        </w:rPr>
        <w:t>age</w:t>
      </w:r>
      <w:proofErr w:type="spellEnd"/>
      <w:r w:rsidRPr="009E1104">
        <w:rPr>
          <w:rFonts w:eastAsia="Calibri"/>
          <w:lang w:eastAsia="en-US"/>
        </w:rPr>
        <w:t xml:space="preserve"> of 55.33 -/+9.09 </w:t>
      </w:r>
      <w:proofErr w:type="spellStart"/>
      <w:r w:rsidRPr="009E1104">
        <w:rPr>
          <w:rFonts w:eastAsia="Calibri"/>
          <w:lang w:eastAsia="en-US"/>
        </w:rPr>
        <w:t>years</w:t>
      </w:r>
      <w:proofErr w:type="spellEnd"/>
      <w:r w:rsidRPr="009E1104">
        <w:rPr>
          <w:rFonts w:eastAsia="Calibri"/>
          <w:lang w:eastAsia="en-US"/>
        </w:rPr>
        <w:t xml:space="preserve"> and </w:t>
      </w:r>
      <w:r w:rsidR="00AB63A7">
        <w:rPr>
          <w:rFonts w:eastAsia="Calibri"/>
          <w:lang w:eastAsia="en-US"/>
        </w:rPr>
        <w:t xml:space="preserve">a </w:t>
      </w:r>
      <w:proofErr w:type="spellStart"/>
      <w:r w:rsidRPr="009E1104">
        <w:rPr>
          <w:rFonts w:eastAsia="Calibri"/>
          <w:lang w:eastAsia="en-US"/>
        </w:rPr>
        <w:t>body</w:t>
      </w:r>
      <w:proofErr w:type="spellEnd"/>
      <w:r w:rsidRPr="009E1104">
        <w:rPr>
          <w:rFonts w:eastAsia="Calibri"/>
          <w:lang w:eastAsia="en-US"/>
        </w:rPr>
        <w:t xml:space="preserve"> </w:t>
      </w:r>
      <w:proofErr w:type="spellStart"/>
      <w:r w:rsidRPr="009E1104">
        <w:rPr>
          <w:rFonts w:eastAsia="Calibri"/>
          <w:lang w:eastAsia="en-US"/>
        </w:rPr>
        <w:t>mass</w:t>
      </w:r>
      <w:proofErr w:type="spellEnd"/>
      <w:r w:rsidRPr="009E1104">
        <w:rPr>
          <w:rFonts w:eastAsia="Calibri"/>
          <w:lang w:eastAsia="en-US"/>
        </w:rPr>
        <w:t xml:space="preserve"> </w:t>
      </w:r>
      <w:proofErr w:type="spellStart"/>
      <w:r w:rsidRPr="009E1104">
        <w:rPr>
          <w:rFonts w:eastAsia="Calibri"/>
          <w:lang w:eastAsia="en-US"/>
        </w:rPr>
        <w:t>index</w:t>
      </w:r>
      <w:proofErr w:type="spellEnd"/>
      <w:r w:rsidRPr="009E1104">
        <w:rPr>
          <w:rFonts w:eastAsia="Calibri"/>
          <w:lang w:eastAsia="en-US"/>
        </w:rPr>
        <w:t xml:space="preserve"> of 26.06 -/+4.32 (</w:t>
      </w:r>
      <w:proofErr w:type="spellStart"/>
      <w:r w:rsidRPr="009E1104">
        <w:rPr>
          <w:rFonts w:eastAsia="Calibri"/>
          <w:lang w:eastAsia="en-US"/>
        </w:rPr>
        <w:t>Table</w:t>
      </w:r>
      <w:proofErr w:type="spellEnd"/>
      <w:r w:rsidRPr="009E1104">
        <w:rPr>
          <w:rFonts w:eastAsia="Calibri"/>
          <w:lang w:eastAsia="en-US"/>
        </w:rPr>
        <w:t xml:space="preserve"> 1).</w:t>
      </w:r>
    </w:p>
    <w:p w14:paraId="077DE4C5" w14:textId="589AF266" w:rsidR="009E1104" w:rsidRPr="009E1104" w:rsidRDefault="006A70EA" w:rsidP="00E929D5">
      <w:pPr>
        <w:pStyle w:val="Prrafodelista"/>
        <w:spacing w:line="480" w:lineRule="auto"/>
        <w:ind w:left="0"/>
        <w:rPr>
          <w:b/>
          <w:bCs/>
        </w:rPr>
      </w:pPr>
      <w:proofErr w:type="spellStart"/>
      <w:r w:rsidRPr="009E1104">
        <w:rPr>
          <w:b/>
          <w:bCs/>
          <w:iCs/>
        </w:rPr>
        <w:t>Tabl</w:t>
      </w:r>
      <w:r w:rsidR="009E1104" w:rsidRPr="009E1104">
        <w:rPr>
          <w:b/>
          <w:bCs/>
          <w:iCs/>
        </w:rPr>
        <w:t>e</w:t>
      </w:r>
      <w:proofErr w:type="spellEnd"/>
      <w:r w:rsidRPr="009E1104">
        <w:rPr>
          <w:b/>
          <w:bCs/>
          <w:iCs/>
        </w:rPr>
        <w:t xml:space="preserve"> 2</w:t>
      </w:r>
      <w:r w:rsidRPr="009E1104">
        <w:rPr>
          <w:b/>
          <w:bCs/>
        </w:rPr>
        <w:t xml:space="preserve"> </w:t>
      </w:r>
    </w:p>
    <w:bookmarkEnd w:id="1"/>
    <w:p w14:paraId="59D2D087" w14:textId="6E08340B" w:rsidR="006A70EA" w:rsidRPr="009E1104" w:rsidRDefault="009E1104" w:rsidP="00E929D5">
      <w:pPr>
        <w:pStyle w:val="Prrafodelista"/>
        <w:spacing w:line="480" w:lineRule="auto"/>
        <w:ind w:left="0"/>
        <w:rPr>
          <w:i/>
          <w:iCs/>
        </w:rPr>
      </w:pPr>
      <w:proofErr w:type="spellStart"/>
      <w:r w:rsidRPr="009E1104">
        <w:rPr>
          <w:i/>
          <w:iCs/>
        </w:rPr>
        <w:t>Age</w:t>
      </w:r>
      <w:proofErr w:type="spellEnd"/>
      <w:r w:rsidRPr="009E1104">
        <w:rPr>
          <w:i/>
          <w:iCs/>
        </w:rPr>
        <w:t xml:space="preserve"> </w:t>
      </w:r>
      <w:proofErr w:type="spellStart"/>
      <w:r w:rsidRPr="009E1104">
        <w:rPr>
          <w:i/>
          <w:iCs/>
        </w:rPr>
        <w:t>range</w:t>
      </w:r>
      <w:proofErr w:type="spellEnd"/>
      <w:r w:rsidRPr="009E1104">
        <w:rPr>
          <w:i/>
          <w:iCs/>
        </w:rPr>
        <w:t xml:space="preserve"> </w:t>
      </w:r>
      <w:proofErr w:type="spellStart"/>
      <w:r w:rsidRPr="009E1104">
        <w:rPr>
          <w:i/>
          <w:iCs/>
        </w:rPr>
        <w:t>by</w:t>
      </w:r>
      <w:proofErr w:type="spellEnd"/>
      <w:r w:rsidRPr="009E1104">
        <w:rPr>
          <w:i/>
          <w:iCs/>
        </w:rPr>
        <w:t xml:space="preserve"> </w:t>
      </w:r>
      <w:proofErr w:type="spellStart"/>
      <w:r w:rsidRPr="009E1104">
        <w:rPr>
          <w:i/>
          <w:iCs/>
        </w:rPr>
        <w:t>gender</w:t>
      </w:r>
      <w:proofErr w:type="spellEnd"/>
      <w:r w:rsidRPr="009E1104">
        <w:rPr>
          <w:i/>
          <w:iCs/>
        </w:rPr>
        <w:t>.</w:t>
      </w:r>
    </w:p>
    <w:tbl>
      <w:tblPr>
        <w:tblW w:w="6535" w:type="dxa"/>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1560"/>
        <w:gridCol w:w="829"/>
        <w:gridCol w:w="829"/>
        <w:gridCol w:w="829"/>
        <w:gridCol w:w="829"/>
        <w:gridCol w:w="829"/>
        <w:gridCol w:w="830"/>
      </w:tblGrid>
      <w:tr w:rsidR="006A70EA" w:rsidRPr="00CE4512" w14:paraId="41DA634D" w14:textId="77777777" w:rsidTr="007915E2">
        <w:trPr>
          <w:trHeight w:val="300"/>
          <w:jc w:val="center"/>
        </w:trPr>
        <w:tc>
          <w:tcPr>
            <w:tcW w:w="1560" w:type="dxa"/>
            <w:vMerge w:val="restart"/>
            <w:shd w:val="clear" w:color="auto" w:fill="auto"/>
            <w:noWrap/>
            <w:vAlign w:val="center"/>
            <w:hideMark/>
          </w:tcPr>
          <w:p w14:paraId="0796A3B0" w14:textId="043364D9"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range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w:t>
            </w:r>
          </w:p>
        </w:tc>
        <w:tc>
          <w:tcPr>
            <w:tcW w:w="1658" w:type="dxa"/>
            <w:gridSpan w:val="2"/>
            <w:shd w:val="clear" w:color="auto" w:fill="auto"/>
            <w:noWrap/>
            <w:vAlign w:val="bottom"/>
            <w:hideMark/>
          </w:tcPr>
          <w:p w14:paraId="391245D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Total</w:t>
            </w:r>
          </w:p>
        </w:tc>
        <w:tc>
          <w:tcPr>
            <w:tcW w:w="1658" w:type="dxa"/>
            <w:gridSpan w:val="2"/>
            <w:shd w:val="clear" w:color="auto" w:fill="auto"/>
            <w:noWrap/>
            <w:vAlign w:val="bottom"/>
            <w:hideMark/>
          </w:tcPr>
          <w:p w14:paraId="0D0E3E12" w14:textId="63088F61"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Male</w:t>
            </w:r>
            <w:proofErr w:type="spellEnd"/>
          </w:p>
        </w:tc>
        <w:tc>
          <w:tcPr>
            <w:tcW w:w="1659" w:type="dxa"/>
            <w:gridSpan w:val="2"/>
            <w:shd w:val="clear" w:color="auto" w:fill="auto"/>
            <w:noWrap/>
            <w:vAlign w:val="bottom"/>
            <w:hideMark/>
          </w:tcPr>
          <w:p w14:paraId="767000C4" w14:textId="588C7A82" w:rsidR="006A70EA" w:rsidRPr="00CE4512" w:rsidRDefault="009E1104" w:rsidP="00E929D5">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Female</w:t>
            </w:r>
            <w:proofErr w:type="spellEnd"/>
          </w:p>
        </w:tc>
      </w:tr>
      <w:tr w:rsidR="006A70EA" w:rsidRPr="00CE4512" w14:paraId="1909CEF2" w14:textId="77777777" w:rsidTr="007915E2">
        <w:trPr>
          <w:trHeight w:val="300"/>
          <w:jc w:val="center"/>
        </w:trPr>
        <w:tc>
          <w:tcPr>
            <w:tcW w:w="1560" w:type="dxa"/>
            <w:vMerge/>
            <w:tcBorders>
              <w:bottom w:val="single" w:sz="4" w:space="0" w:color="auto"/>
            </w:tcBorders>
            <w:vAlign w:val="center"/>
            <w:hideMark/>
          </w:tcPr>
          <w:p w14:paraId="722063CD" w14:textId="77777777" w:rsidR="006A70EA" w:rsidRPr="00CE4512" w:rsidRDefault="006A70EA" w:rsidP="00E929D5">
            <w:pPr>
              <w:spacing w:after="0" w:line="240" w:lineRule="auto"/>
              <w:rPr>
                <w:rFonts w:ascii="Times New Roman" w:hAnsi="Times New Roman"/>
                <w:b/>
                <w:bCs/>
                <w:sz w:val="24"/>
                <w:szCs w:val="24"/>
              </w:rPr>
            </w:pPr>
          </w:p>
        </w:tc>
        <w:tc>
          <w:tcPr>
            <w:tcW w:w="829" w:type="dxa"/>
            <w:tcBorders>
              <w:bottom w:val="single" w:sz="4" w:space="0" w:color="auto"/>
            </w:tcBorders>
            <w:shd w:val="clear" w:color="auto" w:fill="auto"/>
            <w:noWrap/>
            <w:vAlign w:val="bottom"/>
            <w:hideMark/>
          </w:tcPr>
          <w:p w14:paraId="5FA19FB7"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29" w:type="dxa"/>
            <w:tcBorders>
              <w:bottom w:val="single" w:sz="4" w:space="0" w:color="auto"/>
            </w:tcBorders>
            <w:shd w:val="clear" w:color="auto" w:fill="auto"/>
            <w:noWrap/>
            <w:vAlign w:val="bottom"/>
            <w:hideMark/>
          </w:tcPr>
          <w:p w14:paraId="56790D37"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c>
          <w:tcPr>
            <w:tcW w:w="829" w:type="dxa"/>
            <w:tcBorders>
              <w:bottom w:val="single" w:sz="4" w:space="0" w:color="auto"/>
            </w:tcBorders>
            <w:shd w:val="clear" w:color="auto" w:fill="auto"/>
            <w:noWrap/>
            <w:vAlign w:val="bottom"/>
            <w:hideMark/>
          </w:tcPr>
          <w:p w14:paraId="7CFCD9BC"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29" w:type="dxa"/>
            <w:tcBorders>
              <w:bottom w:val="single" w:sz="4" w:space="0" w:color="auto"/>
            </w:tcBorders>
            <w:shd w:val="clear" w:color="auto" w:fill="auto"/>
            <w:noWrap/>
            <w:vAlign w:val="bottom"/>
            <w:hideMark/>
          </w:tcPr>
          <w:p w14:paraId="0B39EA93"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c>
          <w:tcPr>
            <w:tcW w:w="829" w:type="dxa"/>
            <w:tcBorders>
              <w:bottom w:val="single" w:sz="4" w:space="0" w:color="auto"/>
            </w:tcBorders>
            <w:shd w:val="clear" w:color="auto" w:fill="auto"/>
            <w:noWrap/>
            <w:vAlign w:val="bottom"/>
            <w:hideMark/>
          </w:tcPr>
          <w:p w14:paraId="47E8C4D2"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N°</w:t>
            </w:r>
          </w:p>
        </w:tc>
        <w:tc>
          <w:tcPr>
            <w:tcW w:w="830" w:type="dxa"/>
            <w:tcBorders>
              <w:bottom w:val="single" w:sz="4" w:space="0" w:color="auto"/>
            </w:tcBorders>
            <w:shd w:val="clear" w:color="auto" w:fill="auto"/>
            <w:noWrap/>
            <w:vAlign w:val="bottom"/>
            <w:hideMark/>
          </w:tcPr>
          <w:p w14:paraId="47D387B4" w14:textId="77777777" w:rsidR="006A70EA" w:rsidRPr="00CE4512" w:rsidRDefault="006A70EA" w:rsidP="00E929D5">
            <w:pPr>
              <w:spacing w:after="0" w:line="240" w:lineRule="auto"/>
              <w:jc w:val="center"/>
              <w:rPr>
                <w:rFonts w:ascii="Times New Roman" w:hAnsi="Times New Roman"/>
                <w:b/>
                <w:bCs/>
                <w:sz w:val="24"/>
                <w:szCs w:val="24"/>
              </w:rPr>
            </w:pPr>
            <w:r w:rsidRPr="00CE4512">
              <w:rPr>
                <w:rFonts w:ascii="Times New Roman" w:hAnsi="Times New Roman"/>
                <w:b/>
                <w:bCs/>
                <w:sz w:val="24"/>
                <w:szCs w:val="24"/>
              </w:rPr>
              <w:t>%</w:t>
            </w:r>
          </w:p>
        </w:tc>
      </w:tr>
      <w:tr w:rsidR="006A70EA" w:rsidRPr="00CE4512" w14:paraId="7E3D30C5" w14:textId="77777777" w:rsidTr="007915E2">
        <w:trPr>
          <w:trHeight w:val="300"/>
          <w:jc w:val="center"/>
        </w:trPr>
        <w:tc>
          <w:tcPr>
            <w:tcW w:w="1560" w:type="dxa"/>
            <w:tcBorders>
              <w:top w:val="single" w:sz="4" w:space="0" w:color="auto"/>
            </w:tcBorders>
            <w:shd w:val="clear" w:color="auto" w:fill="auto"/>
            <w:noWrap/>
            <w:vAlign w:val="bottom"/>
            <w:hideMark/>
          </w:tcPr>
          <w:p w14:paraId="2854E97D" w14:textId="77777777"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41-51</w:t>
            </w:r>
          </w:p>
        </w:tc>
        <w:tc>
          <w:tcPr>
            <w:tcW w:w="829" w:type="dxa"/>
            <w:tcBorders>
              <w:top w:val="single" w:sz="4" w:space="0" w:color="auto"/>
            </w:tcBorders>
            <w:shd w:val="clear" w:color="auto" w:fill="auto"/>
            <w:noWrap/>
            <w:vAlign w:val="bottom"/>
            <w:hideMark/>
          </w:tcPr>
          <w:p w14:paraId="5C8E3680"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36</w:t>
            </w:r>
          </w:p>
        </w:tc>
        <w:tc>
          <w:tcPr>
            <w:tcW w:w="829" w:type="dxa"/>
            <w:tcBorders>
              <w:top w:val="single" w:sz="4" w:space="0" w:color="auto"/>
            </w:tcBorders>
            <w:shd w:val="clear" w:color="auto" w:fill="auto"/>
            <w:noWrap/>
            <w:vAlign w:val="bottom"/>
            <w:hideMark/>
          </w:tcPr>
          <w:p w14:paraId="56CDC163"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34.62</w:t>
            </w:r>
          </w:p>
        </w:tc>
        <w:tc>
          <w:tcPr>
            <w:tcW w:w="829" w:type="dxa"/>
            <w:tcBorders>
              <w:top w:val="single" w:sz="4" w:space="0" w:color="auto"/>
            </w:tcBorders>
            <w:shd w:val="clear" w:color="auto" w:fill="auto"/>
            <w:noWrap/>
            <w:vAlign w:val="bottom"/>
            <w:hideMark/>
          </w:tcPr>
          <w:p w14:paraId="2E80DA9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8</w:t>
            </w:r>
          </w:p>
        </w:tc>
        <w:tc>
          <w:tcPr>
            <w:tcW w:w="829" w:type="dxa"/>
            <w:tcBorders>
              <w:top w:val="single" w:sz="4" w:space="0" w:color="auto"/>
            </w:tcBorders>
            <w:shd w:val="clear" w:color="auto" w:fill="auto"/>
            <w:noWrap/>
            <w:vAlign w:val="bottom"/>
            <w:hideMark/>
          </w:tcPr>
          <w:p w14:paraId="204EB4B7"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21.05</w:t>
            </w:r>
          </w:p>
        </w:tc>
        <w:tc>
          <w:tcPr>
            <w:tcW w:w="829" w:type="dxa"/>
            <w:tcBorders>
              <w:top w:val="single" w:sz="4" w:space="0" w:color="auto"/>
            </w:tcBorders>
            <w:shd w:val="clear" w:color="auto" w:fill="auto"/>
            <w:noWrap/>
            <w:vAlign w:val="bottom"/>
            <w:hideMark/>
          </w:tcPr>
          <w:p w14:paraId="06778C80"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28</w:t>
            </w:r>
          </w:p>
        </w:tc>
        <w:tc>
          <w:tcPr>
            <w:tcW w:w="830" w:type="dxa"/>
            <w:tcBorders>
              <w:top w:val="single" w:sz="4" w:space="0" w:color="auto"/>
            </w:tcBorders>
            <w:shd w:val="clear" w:color="auto" w:fill="auto"/>
            <w:noWrap/>
            <w:vAlign w:val="bottom"/>
            <w:hideMark/>
          </w:tcPr>
          <w:p w14:paraId="3355D0E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42.42</w:t>
            </w:r>
          </w:p>
        </w:tc>
      </w:tr>
      <w:tr w:rsidR="006A70EA" w:rsidRPr="00CE4512" w14:paraId="5D6BFC34" w14:textId="77777777" w:rsidTr="007915E2">
        <w:trPr>
          <w:trHeight w:val="300"/>
          <w:jc w:val="center"/>
        </w:trPr>
        <w:tc>
          <w:tcPr>
            <w:tcW w:w="1560" w:type="dxa"/>
            <w:tcBorders>
              <w:top w:val="nil"/>
            </w:tcBorders>
            <w:shd w:val="clear" w:color="auto" w:fill="auto"/>
            <w:noWrap/>
            <w:vAlign w:val="bottom"/>
            <w:hideMark/>
          </w:tcPr>
          <w:p w14:paraId="0C84EE81" w14:textId="77777777"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52-61</w:t>
            </w:r>
          </w:p>
        </w:tc>
        <w:tc>
          <w:tcPr>
            <w:tcW w:w="829" w:type="dxa"/>
            <w:tcBorders>
              <w:top w:val="nil"/>
            </w:tcBorders>
            <w:shd w:val="clear" w:color="auto" w:fill="auto"/>
            <w:noWrap/>
            <w:vAlign w:val="bottom"/>
            <w:hideMark/>
          </w:tcPr>
          <w:p w14:paraId="62BE84EE"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38</w:t>
            </w:r>
          </w:p>
        </w:tc>
        <w:tc>
          <w:tcPr>
            <w:tcW w:w="829" w:type="dxa"/>
            <w:tcBorders>
              <w:top w:val="nil"/>
            </w:tcBorders>
            <w:shd w:val="clear" w:color="auto" w:fill="auto"/>
            <w:noWrap/>
            <w:vAlign w:val="bottom"/>
            <w:hideMark/>
          </w:tcPr>
          <w:p w14:paraId="41FE95E6"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36.54</w:t>
            </w:r>
          </w:p>
        </w:tc>
        <w:tc>
          <w:tcPr>
            <w:tcW w:w="829" w:type="dxa"/>
            <w:tcBorders>
              <w:top w:val="nil"/>
            </w:tcBorders>
            <w:shd w:val="clear" w:color="auto" w:fill="auto"/>
            <w:noWrap/>
            <w:vAlign w:val="bottom"/>
            <w:hideMark/>
          </w:tcPr>
          <w:p w14:paraId="5EC9608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829" w:type="dxa"/>
            <w:tcBorders>
              <w:top w:val="nil"/>
            </w:tcBorders>
            <w:shd w:val="clear" w:color="auto" w:fill="auto"/>
            <w:noWrap/>
            <w:vAlign w:val="bottom"/>
            <w:hideMark/>
          </w:tcPr>
          <w:p w14:paraId="6E8A3D24"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52.63</w:t>
            </w:r>
          </w:p>
        </w:tc>
        <w:tc>
          <w:tcPr>
            <w:tcW w:w="829" w:type="dxa"/>
            <w:tcBorders>
              <w:top w:val="nil"/>
            </w:tcBorders>
            <w:shd w:val="clear" w:color="auto" w:fill="auto"/>
            <w:noWrap/>
            <w:vAlign w:val="bottom"/>
            <w:hideMark/>
          </w:tcPr>
          <w:p w14:paraId="48587D3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18</w:t>
            </w:r>
          </w:p>
        </w:tc>
        <w:tc>
          <w:tcPr>
            <w:tcW w:w="830" w:type="dxa"/>
            <w:tcBorders>
              <w:top w:val="nil"/>
            </w:tcBorders>
            <w:shd w:val="clear" w:color="auto" w:fill="auto"/>
            <w:noWrap/>
            <w:vAlign w:val="bottom"/>
            <w:hideMark/>
          </w:tcPr>
          <w:p w14:paraId="05C7CF65"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27.27</w:t>
            </w:r>
          </w:p>
        </w:tc>
      </w:tr>
      <w:tr w:rsidR="006A70EA" w:rsidRPr="00CE4512" w14:paraId="44E48585" w14:textId="77777777" w:rsidTr="007915E2">
        <w:trPr>
          <w:trHeight w:val="300"/>
          <w:jc w:val="center"/>
        </w:trPr>
        <w:tc>
          <w:tcPr>
            <w:tcW w:w="1560" w:type="dxa"/>
            <w:tcBorders>
              <w:top w:val="nil"/>
            </w:tcBorders>
            <w:shd w:val="clear" w:color="auto" w:fill="auto"/>
            <w:noWrap/>
            <w:vAlign w:val="bottom"/>
            <w:hideMark/>
          </w:tcPr>
          <w:p w14:paraId="12B73EAB" w14:textId="38CA8873" w:rsidR="006A70EA" w:rsidRPr="00CE4512" w:rsidRDefault="006A70EA" w:rsidP="00E929D5">
            <w:pPr>
              <w:spacing w:after="0" w:line="240" w:lineRule="auto"/>
              <w:rPr>
                <w:rFonts w:ascii="Times New Roman" w:hAnsi="Times New Roman"/>
                <w:sz w:val="24"/>
                <w:szCs w:val="24"/>
              </w:rPr>
            </w:pPr>
            <w:r w:rsidRPr="00CE4512">
              <w:rPr>
                <w:rFonts w:ascii="Times New Roman" w:hAnsi="Times New Roman"/>
                <w:sz w:val="24"/>
                <w:szCs w:val="24"/>
              </w:rPr>
              <w:t xml:space="preserve">62 </w:t>
            </w:r>
            <w:r w:rsidR="009E1104" w:rsidRPr="009E1104">
              <w:rPr>
                <w:rFonts w:ascii="Times New Roman" w:hAnsi="Times New Roman"/>
                <w:sz w:val="24"/>
                <w:szCs w:val="24"/>
              </w:rPr>
              <w:t>to more</w:t>
            </w:r>
          </w:p>
        </w:tc>
        <w:tc>
          <w:tcPr>
            <w:tcW w:w="829" w:type="dxa"/>
            <w:tcBorders>
              <w:top w:val="nil"/>
            </w:tcBorders>
            <w:shd w:val="clear" w:color="auto" w:fill="auto"/>
            <w:noWrap/>
            <w:vAlign w:val="bottom"/>
            <w:hideMark/>
          </w:tcPr>
          <w:p w14:paraId="1AEBEF8E"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30</w:t>
            </w:r>
          </w:p>
        </w:tc>
        <w:tc>
          <w:tcPr>
            <w:tcW w:w="829" w:type="dxa"/>
            <w:tcBorders>
              <w:top w:val="nil"/>
            </w:tcBorders>
            <w:shd w:val="clear" w:color="auto" w:fill="auto"/>
            <w:noWrap/>
            <w:vAlign w:val="bottom"/>
            <w:hideMark/>
          </w:tcPr>
          <w:p w14:paraId="6851CE5C"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28.85</w:t>
            </w:r>
          </w:p>
        </w:tc>
        <w:tc>
          <w:tcPr>
            <w:tcW w:w="829" w:type="dxa"/>
            <w:tcBorders>
              <w:top w:val="nil"/>
            </w:tcBorders>
            <w:shd w:val="clear" w:color="auto" w:fill="auto"/>
            <w:noWrap/>
            <w:vAlign w:val="bottom"/>
            <w:hideMark/>
          </w:tcPr>
          <w:p w14:paraId="25668CF8"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w:t>
            </w:r>
          </w:p>
        </w:tc>
        <w:tc>
          <w:tcPr>
            <w:tcW w:w="829" w:type="dxa"/>
            <w:tcBorders>
              <w:top w:val="nil"/>
            </w:tcBorders>
            <w:shd w:val="clear" w:color="auto" w:fill="auto"/>
            <w:noWrap/>
            <w:vAlign w:val="bottom"/>
            <w:hideMark/>
          </w:tcPr>
          <w:p w14:paraId="6A3ACEFF"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26.32</w:t>
            </w:r>
          </w:p>
        </w:tc>
        <w:tc>
          <w:tcPr>
            <w:tcW w:w="829" w:type="dxa"/>
            <w:tcBorders>
              <w:top w:val="nil"/>
            </w:tcBorders>
            <w:shd w:val="clear" w:color="auto" w:fill="auto"/>
            <w:noWrap/>
            <w:vAlign w:val="bottom"/>
            <w:hideMark/>
          </w:tcPr>
          <w:p w14:paraId="6D2402B9"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830" w:type="dxa"/>
            <w:tcBorders>
              <w:top w:val="nil"/>
            </w:tcBorders>
            <w:shd w:val="clear" w:color="auto" w:fill="auto"/>
            <w:noWrap/>
            <w:vAlign w:val="bottom"/>
            <w:hideMark/>
          </w:tcPr>
          <w:p w14:paraId="1989573D"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30.30</w:t>
            </w:r>
          </w:p>
        </w:tc>
      </w:tr>
      <w:tr w:rsidR="006A70EA" w:rsidRPr="00CE4512" w14:paraId="159079DD" w14:textId="77777777" w:rsidTr="007915E2">
        <w:trPr>
          <w:trHeight w:val="315"/>
          <w:jc w:val="center"/>
        </w:trPr>
        <w:tc>
          <w:tcPr>
            <w:tcW w:w="1560" w:type="dxa"/>
            <w:tcBorders>
              <w:top w:val="nil"/>
              <w:bottom w:val="single" w:sz="4" w:space="0" w:color="auto"/>
            </w:tcBorders>
            <w:shd w:val="clear" w:color="auto" w:fill="auto"/>
            <w:noWrap/>
            <w:vAlign w:val="bottom"/>
            <w:hideMark/>
          </w:tcPr>
          <w:p w14:paraId="0DE3084D" w14:textId="77777777" w:rsidR="006A70EA" w:rsidRPr="00CE4512" w:rsidRDefault="006A70EA" w:rsidP="00E929D5">
            <w:pPr>
              <w:spacing w:after="0" w:line="240" w:lineRule="auto"/>
              <w:rPr>
                <w:rFonts w:ascii="Times New Roman" w:hAnsi="Times New Roman"/>
                <w:b/>
                <w:bCs/>
                <w:sz w:val="24"/>
                <w:szCs w:val="24"/>
              </w:rPr>
            </w:pPr>
            <w:r w:rsidRPr="00CE4512">
              <w:rPr>
                <w:rFonts w:ascii="Times New Roman" w:hAnsi="Times New Roman"/>
                <w:b/>
                <w:bCs/>
                <w:sz w:val="24"/>
                <w:szCs w:val="24"/>
              </w:rPr>
              <w:t>TOTAL</w:t>
            </w:r>
          </w:p>
        </w:tc>
        <w:tc>
          <w:tcPr>
            <w:tcW w:w="829" w:type="dxa"/>
            <w:tcBorders>
              <w:top w:val="nil"/>
              <w:bottom w:val="single" w:sz="4" w:space="0" w:color="auto"/>
            </w:tcBorders>
            <w:shd w:val="clear" w:color="auto" w:fill="auto"/>
            <w:noWrap/>
            <w:vAlign w:val="bottom"/>
            <w:hideMark/>
          </w:tcPr>
          <w:p w14:paraId="59C2224D"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104</w:t>
            </w:r>
          </w:p>
        </w:tc>
        <w:tc>
          <w:tcPr>
            <w:tcW w:w="829" w:type="dxa"/>
            <w:tcBorders>
              <w:top w:val="nil"/>
              <w:bottom w:val="single" w:sz="4" w:space="0" w:color="auto"/>
            </w:tcBorders>
            <w:shd w:val="clear" w:color="auto" w:fill="auto"/>
            <w:noWrap/>
            <w:vAlign w:val="bottom"/>
            <w:hideMark/>
          </w:tcPr>
          <w:p w14:paraId="07AAC3E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c>
          <w:tcPr>
            <w:tcW w:w="829" w:type="dxa"/>
            <w:tcBorders>
              <w:top w:val="nil"/>
              <w:bottom w:val="single" w:sz="4" w:space="0" w:color="auto"/>
            </w:tcBorders>
            <w:shd w:val="clear" w:color="auto" w:fill="auto"/>
            <w:noWrap/>
            <w:vAlign w:val="bottom"/>
            <w:hideMark/>
          </w:tcPr>
          <w:p w14:paraId="3D297BC2"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38</w:t>
            </w:r>
          </w:p>
        </w:tc>
        <w:tc>
          <w:tcPr>
            <w:tcW w:w="829" w:type="dxa"/>
            <w:tcBorders>
              <w:top w:val="nil"/>
              <w:bottom w:val="single" w:sz="4" w:space="0" w:color="auto"/>
            </w:tcBorders>
            <w:shd w:val="clear" w:color="auto" w:fill="auto"/>
            <w:noWrap/>
            <w:vAlign w:val="bottom"/>
            <w:hideMark/>
          </w:tcPr>
          <w:p w14:paraId="7B7DA654"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c>
          <w:tcPr>
            <w:tcW w:w="829" w:type="dxa"/>
            <w:tcBorders>
              <w:top w:val="nil"/>
              <w:bottom w:val="single" w:sz="4" w:space="0" w:color="auto"/>
            </w:tcBorders>
            <w:shd w:val="clear" w:color="auto" w:fill="auto"/>
            <w:noWrap/>
            <w:vAlign w:val="bottom"/>
            <w:hideMark/>
          </w:tcPr>
          <w:p w14:paraId="1E62D117"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66</w:t>
            </w:r>
          </w:p>
        </w:tc>
        <w:tc>
          <w:tcPr>
            <w:tcW w:w="830" w:type="dxa"/>
            <w:tcBorders>
              <w:top w:val="nil"/>
              <w:bottom w:val="single" w:sz="4" w:space="0" w:color="auto"/>
            </w:tcBorders>
            <w:shd w:val="clear" w:color="auto" w:fill="auto"/>
            <w:noWrap/>
            <w:vAlign w:val="bottom"/>
            <w:hideMark/>
          </w:tcPr>
          <w:p w14:paraId="4FFC1A79" w14:textId="77777777" w:rsidR="006A70EA" w:rsidRPr="00CE4512" w:rsidRDefault="006A70EA" w:rsidP="00E929D5">
            <w:pPr>
              <w:spacing w:after="0" w:line="240" w:lineRule="auto"/>
              <w:jc w:val="center"/>
              <w:rPr>
                <w:rFonts w:ascii="Times New Roman" w:hAnsi="Times New Roman"/>
                <w:sz w:val="24"/>
                <w:szCs w:val="24"/>
              </w:rPr>
            </w:pPr>
            <w:r w:rsidRPr="00CE4512">
              <w:rPr>
                <w:rFonts w:ascii="Times New Roman" w:hAnsi="Times New Roman"/>
                <w:sz w:val="24"/>
                <w:szCs w:val="24"/>
              </w:rPr>
              <w:t>100.00</w:t>
            </w:r>
          </w:p>
        </w:tc>
      </w:tr>
    </w:tbl>
    <w:p w14:paraId="629FC7F5" w14:textId="77777777" w:rsidR="006A70EA" w:rsidRPr="00CE4512" w:rsidRDefault="006A70EA" w:rsidP="00E929D5">
      <w:pPr>
        <w:autoSpaceDE w:val="0"/>
        <w:autoSpaceDN w:val="0"/>
        <w:adjustRightInd w:val="0"/>
        <w:spacing w:line="360" w:lineRule="auto"/>
        <w:rPr>
          <w:rFonts w:ascii="Times New Roman" w:hAnsi="Times New Roman"/>
          <w:sz w:val="24"/>
          <w:szCs w:val="24"/>
        </w:rPr>
      </w:pPr>
    </w:p>
    <w:p w14:paraId="26C6F672" w14:textId="3D971818" w:rsidR="006A70EA" w:rsidRDefault="009E1104" w:rsidP="009E1104">
      <w:pPr>
        <w:autoSpaceDE w:val="0"/>
        <w:autoSpaceDN w:val="0"/>
        <w:adjustRightInd w:val="0"/>
        <w:spacing w:line="360" w:lineRule="auto"/>
        <w:ind w:firstLine="348"/>
        <w:jc w:val="both"/>
        <w:rPr>
          <w:rFonts w:ascii="Times New Roman" w:hAnsi="Times New Roman"/>
          <w:sz w:val="24"/>
          <w:szCs w:val="24"/>
        </w:rPr>
      </w:pPr>
      <w:proofErr w:type="spellStart"/>
      <w:r w:rsidRPr="009E1104">
        <w:rPr>
          <w:rFonts w:ascii="Times New Roman" w:hAnsi="Times New Roman"/>
          <w:sz w:val="24"/>
          <w:szCs w:val="24"/>
        </w:rPr>
        <w:t>Table</w:t>
      </w:r>
      <w:proofErr w:type="spellEnd"/>
      <w:r w:rsidRPr="009E1104">
        <w:rPr>
          <w:rFonts w:ascii="Times New Roman" w:hAnsi="Times New Roman"/>
          <w:sz w:val="24"/>
          <w:szCs w:val="24"/>
        </w:rPr>
        <w:t xml:space="preserve"> 2 shows </w:t>
      </w:r>
      <w:proofErr w:type="spellStart"/>
      <w:r w:rsidRPr="009E1104">
        <w:rPr>
          <w:rFonts w:ascii="Times New Roman" w:hAnsi="Times New Roman"/>
          <w:sz w:val="24"/>
          <w:szCs w:val="24"/>
        </w:rPr>
        <w:t>that</w:t>
      </w:r>
      <w:proofErr w:type="spellEnd"/>
      <w:r w:rsidRPr="009E1104">
        <w:rPr>
          <w:rFonts w:ascii="Times New Roman" w:hAnsi="Times New Roman"/>
          <w:sz w:val="24"/>
          <w:szCs w:val="24"/>
        </w:rPr>
        <w:t xml:space="preserve"> 36.54% of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population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studied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is</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range</w:t>
      </w:r>
      <w:proofErr w:type="spellEnd"/>
      <w:r w:rsidRPr="009E1104">
        <w:rPr>
          <w:rFonts w:ascii="Times New Roman" w:hAnsi="Times New Roman"/>
          <w:sz w:val="24"/>
          <w:szCs w:val="24"/>
        </w:rPr>
        <w:t xml:space="preserve"> of 52 to 61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which</w:t>
      </w:r>
      <w:proofErr w:type="spellEnd"/>
      <w:r w:rsidRPr="009E1104">
        <w:rPr>
          <w:rFonts w:ascii="Times New Roman" w:hAnsi="Times New Roman"/>
          <w:sz w:val="24"/>
          <w:szCs w:val="24"/>
        </w:rPr>
        <w:t xml:space="preserve"> 52.63% </w:t>
      </w:r>
      <w:proofErr w:type="spellStart"/>
      <w:r w:rsidRPr="009E1104">
        <w:rPr>
          <w:rFonts w:ascii="Times New Roman" w:hAnsi="Times New Roman"/>
          <w:sz w:val="24"/>
          <w:szCs w:val="24"/>
        </w:rPr>
        <w:t>corresponds</w:t>
      </w:r>
      <w:proofErr w:type="spellEnd"/>
      <w:r w:rsidRPr="009E1104">
        <w:rPr>
          <w:rFonts w:ascii="Times New Roman" w:hAnsi="Times New Roman"/>
          <w:sz w:val="24"/>
          <w:szCs w:val="24"/>
        </w:rPr>
        <w:t xml:space="preserve"> to males. </w:t>
      </w:r>
      <w:proofErr w:type="spellStart"/>
      <w:r w:rsidRPr="009E1104">
        <w:rPr>
          <w:rFonts w:ascii="Times New Roman" w:hAnsi="Times New Roman"/>
          <w:sz w:val="24"/>
          <w:szCs w:val="24"/>
        </w:rPr>
        <w:t>While</w:t>
      </w:r>
      <w:proofErr w:type="spellEnd"/>
      <w:r w:rsidRPr="009E1104">
        <w:rPr>
          <w:rFonts w:ascii="Times New Roman" w:hAnsi="Times New Roman"/>
          <w:sz w:val="24"/>
          <w:szCs w:val="24"/>
        </w:rPr>
        <w:t xml:space="preserve"> 42.42% of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women</w:t>
      </w:r>
      <w:proofErr w:type="spellEnd"/>
      <w:r w:rsidRPr="009E1104">
        <w:rPr>
          <w:rFonts w:ascii="Times New Roman" w:hAnsi="Times New Roman"/>
          <w:sz w:val="24"/>
          <w:szCs w:val="24"/>
        </w:rPr>
        <w:t xml:space="preserve"> are </w:t>
      </w:r>
      <w:proofErr w:type="spellStart"/>
      <w:r w:rsidRPr="009E1104">
        <w:rPr>
          <w:rFonts w:ascii="Times New Roman" w:hAnsi="Times New Roman"/>
          <w:sz w:val="24"/>
          <w:szCs w:val="24"/>
        </w:rPr>
        <w:t>between</w:t>
      </w:r>
      <w:proofErr w:type="spellEnd"/>
      <w:r w:rsidRPr="009E1104">
        <w:rPr>
          <w:rFonts w:ascii="Times New Roman" w:hAnsi="Times New Roman"/>
          <w:sz w:val="24"/>
          <w:szCs w:val="24"/>
        </w:rPr>
        <w:t xml:space="preserve"> 41 and 51 </w:t>
      </w:r>
      <w:proofErr w:type="spellStart"/>
      <w:r w:rsidRPr="009E1104">
        <w:rPr>
          <w:rFonts w:ascii="Times New Roman" w:hAnsi="Times New Roman"/>
          <w:sz w:val="24"/>
          <w:szCs w:val="24"/>
        </w:rPr>
        <w:t>years</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age</w:t>
      </w:r>
      <w:proofErr w:type="spellEnd"/>
      <w:r w:rsidR="006A70EA" w:rsidRPr="00CE4512">
        <w:rPr>
          <w:rFonts w:ascii="Times New Roman" w:hAnsi="Times New Roman"/>
          <w:sz w:val="24"/>
          <w:szCs w:val="24"/>
        </w:rPr>
        <w:t>.</w:t>
      </w:r>
    </w:p>
    <w:p w14:paraId="28EAA27D" w14:textId="4C685998" w:rsidR="009E1104" w:rsidRPr="009E1104" w:rsidRDefault="006A70EA" w:rsidP="00E929D5">
      <w:pPr>
        <w:pStyle w:val="Prrafodelista"/>
        <w:spacing w:line="480" w:lineRule="auto"/>
        <w:ind w:left="0"/>
        <w:rPr>
          <w:b/>
          <w:bCs/>
          <w:iCs/>
        </w:rPr>
      </w:pPr>
      <w:bookmarkStart w:id="2" w:name="_Toc31132730"/>
      <w:proofErr w:type="spellStart"/>
      <w:r w:rsidRPr="009E1104">
        <w:rPr>
          <w:b/>
          <w:bCs/>
          <w:iCs/>
        </w:rPr>
        <w:t>Tabl</w:t>
      </w:r>
      <w:r w:rsidR="009E1104" w:rsidRPr="009E1104">
        <w:rPr>
          <w:b/>
          <w:bCs/>
          <w:iCs/>
        </w:rPr>
        <w:t>e</w:t>
      </w:r>
      <w:proofErr w:type="spellEnd"/>
      <w:r w:rsidRPr="009E1104">
        <w:rPr>
          <w:b/>
          <w:bCs/>
          <w:iCs/>
        </w:rPr>
        <w:t xml:space="preserve"> 3 </w:t>
      </w:r>
    </w:p>
    <w:p w14:paraId="304F3EBB" w14:textId="7BC8D1AE" w:rsidR="006A70EA" w:rsidRPr="009E1104" w:rsidRDefault="009E1104" w:rsidP="00E929D5">
      <w:pPr>
        <w:pStyle w:val="Prrafodelista"/>
        <w:spacing w:line="480" w:lineRule="auto"/>
        <w:ind w:left="0"/>
        <w:rPr>
          <w:bCs/>
          <w:i/>
          <w:iCs/>
        </w:rPr>
      </w:pPr>
      <w:proofErr w:type="spellStart"/>
      <w:r w:rsidRPr="009E1104">
        <w:rPr>
          <w:bCs/>
          <w:i/>
          <w:iCs/>
        </w:rPr>
        <w:t>Classification</w:t>
      </w:r>
      <w:proofErr w:type="spellEnd"/>
      <w:r w:rsidRPr="009E1104">
        <w:rPr>
          <w:bCs/>
          <w:i/>
          <w:iCs/>
        </w:rPr>
        <w:t xml:space="preserve"> of </w:t>
      </w:r>
      <w:proofErr w:type="spellStart"/>
      <w:r w:rsidRPr="009E1104">
        <w:rPr>
          <w:bCs/>
          <w:i/>
          <w:iCs/>
        </w:rPr>
        <w:t>nutritional</w:t>
      </w:r>
      <w:proofErr w:type="spellEnd"/>
      <w:r w:rsidRPr="009E1104">
        <w:rPr>
          <w:bCs/>
          <w:i/>
          <w:iCs/>
        </w:rPr>
        <w:t xml:space="preserve"> status </w:t>
      </w:r>
      <w:proofErr w:type="spellStart"/>
      <w:r w:rsidRPr="009E1104">
        <w:rPr>
          <w:bCs/>
          <w:i/>
          <w:iCs/>
        </w:rPr>
        <w:t>according</w:t>
      </w:r>
      <w:proofErr w:type="spellEnd"/>
      <w:r w:rsidRPr="009E1104">
        <w:rPr>
          <w:bCs/>
          <w:i/>
          <w:iCs/>
        </w:rPr>
        <w:t xml:space="preserve"> to sex</w:t>
      </w:r>
      <w:r w:rsidR="006A70EA" w:rsidRPr="009E1104">
        <w:rPr>
          <w:bCs/>
          <w:i/>
          <w:iCs/>
        </w:rPr>
        <w:t>.</w:t>
      </w:r>
      <w:bookmarkEnd w:id="2"/>
    </w:p>
    <w:tbl>
      <w:tblPr>
        <w:tblW w:w="7503" w:type="dxa"/>
        <w:jc w:val="center"/>
        <w:tblBorders>
          <w:top w:val="single" w:sz="4" w:space="0" w:color="auto"/>
        </w:tblBorders>
        <w:tblLayout w:type="fixed"/>
        <w:tblCellMar>
          <w:left w:w="70" w:type="dxa"/>
          <w:right w:w="70" w:type="dxa"/>
        </w:tblCellMar>
        <w:tblLook w:val="04A0" w:firstRow="1" w:lastRow="0" w:firstColumn="1" w:lastColumn="0" w:noHBand="0" w:noVBand="1"/>
      </w:tblPr>
      <w:tblGrid>
        <w:gridCol w:w="2120"/>
        <w:gridCol w:w="896"/>
        <w:gridCol w:w="897"/>
        <w:gridCol w:w="896"/>
        <w:gridCol w:w="897"/>
        <w:gridCol w:w="805"/>
        <w:gridCol w:w="992"/>
      </w:tblGrid>
      <w:tr w:rsidR="006A70EA" w:rsidRPr="00CE4512" w14:paraId="28D20825" w14:textId="77777777" w:rsidTr="007915E2">
        <w:trPr>
          <w:trHeight w:val="315"/>
          <w:jc w:val="center"/>
        </w:trPr>
        <w:tc>
          <w:tcPr>
            <w:tcW w:w="2120" w:type="dxa"/>
            <w:vMerge w:val="restart"/>
            <w:shd w:val="clear" w:color="auto" w:fill="auto"/>
            <w:noWrap/>
            <w:vAlign w:val="center"/>
            <w:hideMark/>
          </w:tcPr>
          <w:p w14:paraId="6B264A32" w14:textId="1B8BD6C7"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Nutritional</w:t>
            </w:r>
            <w:proofErr w:type="spellEnd"/>
            <w:r w:rsidRPr="009E1104">
              <w:rPr>
                <w:rFonts w:ascii="Times New Roman" w:hAnsi="Times New Roman"/>
                <w:sz w:val="24"/>
                <w:szCs w:val="24"/>
              </w:rPr>
              <w:t xml:space="preserve"> Status</w:t>
            </w:r>
          </w:p>
          <w:p w14:paraId="36F95E32"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(Kg. /m</w:t>
            </w:r>
            <w:r w:rsidRPr="00CE4512">
              <w:rPr>
                <w:rFonts w:ascii="Times New Roman" w:hAnsi="Times New Roman"/>
                <w:sz w:val="24"/>
                <w:szCs w:val="24"/>
                <w:vertAlign w:val="superscript"/>
              </w:rPr>
              <w:t>2</w:t>
            </w:r>
            <w:r w:rsidRPr="00CE4512">
              <w:rPr>
                <w:rFonts w:ascii="Times New Roman" w:hAnsi="Times New Roman"/>
                <w:sz w:val="24"/>
                <w:szCs w:val="24"/>
              </w:rPr>
              <w:t>)</w:t>
            </w:r>
          </w:p>
        </w:tc>
        <w:tc>
          <w:tcPr>
            <w:tcW w:w="1793" w:type="dxa"/>
            <w:gridSpan w:val="2"/>
            <w:shd w:val="clear" w:color="auto" w:fill="auto"/>
            <w:noWrap/>
            <w:vAlign w:val="bottom"/>
            <w:hideMark/>
          </w:tcPr>
          <w:p w14:paraId="179F6BB9" w14:textId="2430E1A4"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Male</w:t>
            </w:r>
            <w:proofErr w:type="spellEnd"/>
          </w:p>
        </w:tc>
        <w:tc>
          <w:tcPr>
            <w:tcW w:w="1793" w:type="dxa"/>
            <w:gridSpan w:val="2"/>
            <w:shd w:val="clear" w:color="auto" w:fill="auto"/>
            <w:noWrap/>
            <w:vAlign w:val="bottom"/>
            <w:hideMark/>
          </w:tcPr>
          <w:p w14:paraId="59F45D97" w14:textId="4C4E7D5D" w:rsidR="006A70EA" w:rsidRPr="00CE4512" w:rsidRDefault="009E1104" w:rsidP="00E929D5">
            <w:pPr>
              <w:contextualSpacing/>
              <w:jc w:val="center"/>
              <w:rPr>
                <w:rFonts w:ascii="Times New Roman" w:hAnsi="Times New Roman"/>
                <w:sz w:val="24"/>
                <w:szCs w:val="24"/>
              </w:rPr>
            </w:pPr>
            <w:proofErr w:type="spellStart"/>
            <w:r w:rsidRPr="009E1104">
              <w:rPr>
                <w:rFonts w:ascii="Times New Roman" w:hAnsi="Times New Roman"/>
                <w:sz w:val="24"/>
                <w:szCs w:val="24"/>
              </w:rPr>
              <w:t>Female</w:t>
            </w:r>
            <w:proofErr w:type="spellEnd"/>
          </w:p>
        </w:tc>
        <w:tc>
          <w:tcPr>
            <w:tcW w:w="1797" w:type="dxa"/>
            <w:gridSpan w:val="2"/>
          </w:tcPr>
          <w:p w14:paraId="0EB74B57"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Total</w:t>
            </w:r>
          </w:p>
        </w:tc>
      </w:tr>
      <w:tr w:rsidR="006A70EA" w:rsidRPr="00CE4512" w14:paraId="47858B15" w14:textId="77777777" w:rsidTr="007915E2">
        <w:trPr>
          <w:trHeight w:val="315"/>
          <w:jc w:val="center"/>
        </w:trPr>
        <w:tc>
          <w:tcPr>
            <w:tcW w:w="2120" w:type="dxa"/>
            <w:vMerge/>
            <w:tcBorders>
              <w:bottom w:val="single" w:sz="4" w:space="0" w:color="auto"/>
            </w:tcBorders>
            <w:vAlign w:val="center"/>
            <w:hideMark/>
          </w:tcPr>
          <w:p w14:paraId="1C8F4E7B" w14:textId="77777777" w:rsidR="006A70EA" w:rsidRPr="00CE4512" w:rsidRDefault="006A70EA" w:rsidP="00E929D5">
            <w:pPr>
              <w:contextualSpacing/>
              <w:rPr>
                <w:rFonts w:ascii="Times New Roman" w:hAnsi="Times New Roman"/>
                <w:b/>
                <w:bCs/>
                <w:sz w:val="24"/>
                <w:szCs w:val="24"/>
              </w:rPr>
            </w:pPr>
          </w:p>
        </w:tc>
        <w:tc>
          <w:tcPr>
            <w:tcW w:w="896" w:type="dxa"/>
            <w:tcBorders>
              <w:bottom w:val="single" w:sz="4" w:space="0" w:color="auto"/>
            </w:tcBorders>
            <w:shd w:val="clear" w:color="auto" w:fill="auto"/>
            <w:noWrap/>
            <w:vAlign w:val="bottom"/>
            <w:hideMark/>
          </w:tcPr>
          <w:p w14:paraId="40C292C2"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897" w:type="dxa"/>
            <w:tcBorders>
              <w:bottom w:val="single" w:sz="4" w:space="0" w:color="auto"/>
            </w:tcBorders>
            <w:shd w:val="clear" w:color="auto" w:fill="auto"/>
            <w:noWrap/>
            <w:vAlign w:val="bottom"/>
            <w:hideMark/>
          </w:tcPr>
          <w:p w14:paraId="038500A9"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c>
          <w:tcPr>
            <w:tcW w:w="896" w:type="dxa"/>
            <w:tcBorders>
              <w:bottom w:val="single" w:sz="4" w:space="0" w:color="auto"/>
            </w:tcBorders>
            <w:shd w:val="clear" w:color="auto" w:fill="auto"/>
            <w:noWrap/>
            <w:vAlign w:val="bottom"/>
            <w:hideMark/>
          </w:tcPr>
          <w:p w14:paraId="20770141"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897" w:type="dxa"/>
            <w:tcBorders>
              <w:bottom w:val="single" w:sz="4" w:space="0" w:color="auto"/>
            </w:tcBorders>
            <w:shd w:val="clear" w:color="auto" w:fill="auto"/>
            <w:noWrap/>
            <w:vAlign w:val="bottom"/>
            <w:hideMark/>
          </w:tcPr>
          <w:p w14:paraId="1077D463"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c>
          <w:tcPr>
            <w:tcW w:w="805" w:type="dxa"/>
            <w:tcBorders>
              <w:bottom w:val="single" w:sz="4" w:space="0" w:color="auto"/>
            </w:tcBorders>
          </w:tcPr>
          <w:p w14:paraId="601B8F2A"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N°</w:t>
            </w:r>
          </w:p>
        </w:tc>
        <w:tc>
          <w:tcPr>
            <w:tcW w:w="992" w:type="dxa"/>
            <w:tcBorders>
              <w:bottom w:val="single" w:sz="4" w:space="0" w:color="auto"/>
            </w:tcBorders>
          </w:tcPr>
          <w:p w14:paraId="1C5016C0" w14:textId="77777777" w:rsidR="006A70EA" w:rsidRPr="00CE4512" w:rsidRDefault="006A70EA" w:rsidP="00E929D5">
            <w:pPr>
              <w:contextualSpacing/>
              <w:jc w:val="center"/>
              <w:rPr>
                <w:rFonts w:ascii="Times New Roman" w:hAnsi="Times New Roman"/>
                <w:b/>
                <w:bCs/>
                <w:sz w:val="24"/>
                <w:szCs w:val="24"/>
              </w:rPr>
            </w:pPr>
            <w:r w:rsidRPr="00CE4512">
              <w:rPr>
                <w:rFonts w:ascii="Times New Roman" w:hAnsi="Times New Roman"/>
                <w:b/>
                <w:bCs/>
                <w:sz w:val="24"/>
                <w:szCs w:val="24"/>
              </w:rPr>
              <w:t>%</w:t>
            </w:r>
          </w:p>
        </w:tc>
      </w:tr>
      <w:tr w:rsidR="009E1104" w:rsidRPr="00CE4512" w14:paraId="36E79054" w14:textId="77777777" w:rsidTr="001F682F">
        <w:trPr>
          <w:trHeight w:val="228"/>
          <w:jc w:val="center"/>
        </w:trPr>
        <w:tc>
          <w:tcPr>
            <w:tcW w:w="2120" w:type="dxa"/>
            <w:tcBorders>
              <w:top w:val="single" w:sz="4" w:space="0" w:color="auto"/>
            </w:tcBorders>
            <w:shd w:val="clear" w:color="auto" w:fill="auto"/>
            <w:noWrap/>
            <w:hideMark/>
          </w:tcPr>
          <w:p w14:paraId="69357B78" w14:textId="06E40838" w:rsidR="009E1104" w:rsidRPr="009E1104" w:rsidRDefault="009E1104" w:rsidP="009E1104">
            <w:pPr>
              <w:contextualSpacing/>
              <w:rPr>
                <w:rFonts w:ascii="Times New Roman" w:hAnsi="Times New Roman"/>
                <w:sz w:val="24"/>
                <w:szCs w:val="24"/>
              </w:rPr>
            </w:pPr>
            <w:r w:rsidRPr="009E1104">
              <w:rPr>
                <w:rFonts w:ascii="Times New Roman" w:hAnsi="Times New Roman"/>
                <w:sz w:val="24"/>
                <w:szCs w:val="24"/>
              </w:rPr>
              <w:t>Normal</w:t>
            </w:r>
          </w:p>
        </w:tc>
        <w:tc>
          <w:tcPr>
            <w:tcW w:w="896" w:type="dxa"/>
            <w:tcBorders>
              <w:top w:val="single" w:sz="4" w:space="0" w:color="auto"/>
            </w:tcBorders>
            <w:shd w:val="clear" w:color="auto" w:fill="auto"/>
            <w:noWrap/>
            <w:vAlign w:val="bottom"/>
            <w:hideMark/>
          </w:tcPr>
          <w:p w14:paraId="43CE9870"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16</w:t>
            </w:r>
          </w:p>
        </w:tc>
        <w:tc>
          <w:tcPr>
            <w:tcW w:w="897" w:type="dxa"/>
            <w:tcBorders>
              <w:top w:val="single" w:sz="4" w:space="0" w:color="auto"/>
            </w:tcBorders>
            <w:shd w:val="clear" w:color="auto" w:fill="auto"/>
            <w:noWrap/>
            <w:vAlign w:val="bottom"/>
            <w:hideMark/>
          </w:tcPr>
          <w:p w14:paraId="67BAE577"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42.11</w:t>
            </w:r>
          </w:p>
        </w:tc>
        <w:tc>
          <w:tcPr>
            <w:tcW w:w="896" w:type="dxa"/>
            <w:tcBorders>
              <w:top w:val="single" w:sz="4" w:space="0" w:color="auto"/>
            </w:tcBorders>
            <w:shd w:val="clear" w:color="auto" w:fill="auto"/>
            <w:noWrap/>
            <w:vAlign w:val="bottom"/>
            <w:hideMark/>
          </w:tcPr>
          <w:p w14:paraId="0801EBD6"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22</w:t>
            </w:r>
          </w:p>
        </w:tc>
        <w:tc>
          <w:tcPr>
            <w:tcW w:w="897" w:type="dxa"/>
            <w:tcBorders>
              <w:top w:val="single" w:sz="4" w:space="0" w:color="auto"/>
            </w:tcBorders>
            <w:shd w:val="clear" w:color="auto" w:fill="auto"/>
            <w:noWrap/>
            <w:vAlign w:val="bottom"/>
            <w:hideMark/>
          </w:tcPr>
          <w:p w14:paraId="4CC12FE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33.33</w:t>
            </w:r>
          </w:p>
        </w:tc>
        <w:tc>
          <w:tcPr>
            <w:tcW w:w="805" w:type="dxa"/>
            <w:tcBorders>
              <w:top w:val="single" w:sz="4" w:space="0" w:color="auto"/>
            </w:tcBorders>
          </w:tcPr>
          <w:p w14:paraId="2A57B5D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38</w:t>
            </w:r>
          </w:p>
        </w:tc>
        <w:tc>
          <w:tcPr>
            <w:tcW w:w="992" w:type="dxa"/>
            <w:tcBorders>
              <w:top w:val="single" w:sz="4" w:space="0" w:color="auto"/>
            </w:tcBorders>
          </w:tcPr>
          <w:p w14:paraId="01E7DBCA"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36.53</w:t>
            </w:r>
          </w:p>
        </w:tc>
      </w:tr>
      <w:tr w:rsidR="009E1104" w:rsidRPr="00CE4512" w14:paraId="530EF743" w14:textId="77777777" w:rsidTr="001F682F">
        <w:trPr>
          <w:trHeight w:val="315"/>
          <w:jc w:val="center"/>
        </w:trPr>
        <w:tc>
          <w:tcPr>
            <w:tcW w:w="2120" w:type="dxa"/>
            <w:tcBorders>
              <w:top w:val="nil"/>
            </w:tcBorders>
            <w:shd w:val="clear" w:color="auto" w:fill="auto"/>
            <w:noWrap/>
            <w:hideMark/>
          </w:tcPr>
          <w:p w14:paraId="6C98A5FB" w14:textId="4E238D9B" w:rsidR="009E1104" w:rsidRPr="009E1104" w:rsidRDefault="009E1104" w:rsidP="009E1104">
            <w:pPr>
              <w:contextualSpacing/>
              <w:rPr>
                <w:rFonts w:ascii="Times New Roman" w:hAnsi="Times New Roman"/>
                <w:sz w:val="24"/>
                <w:szCs w:val="24"/>
              </w:rPr>
            </w:pPr>
            <w:proofErr w:type="spellStart"/>
            <w:r w:rsidRPr="009E1104">
              <w:rPr>
                <w:rFonts w:ascii="Times New Roman" w:hAnsi="Times New Roman"/>
                <w:sz w:val="24"/>
                <w:szCs w:val="24"/>
              </w:rPr>
              <w:t>Overweight</w:t>
            </w:r>
            <w:proofErr w:type="spellEnd"/>
          </w:p>
        </w:tc>
        <w:tc>
          <w:tcPr>
            <w:tcW w:w="896" w:type="dxa"/>
            <w:tcBorders>
              <w:top w:val="nil"/>
            </w:tcBorders>
            <w:shd w:val="clear" w:color="auto" w:fill="auto"/>
            <w:noWrap/>
            <w:vAlign w:val="bottom"/>
            <w:hideMark/>
          </w:tcPr>
          <w:p w14:paraId="37247942"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16</w:t>
            </w:r>
          </w:p>
        </w:tc>
        <w:tc>
          <w:tcPr>
            <w:tcW w:w="897" w:type="dxa"/>
            <w:tcBorders>
              <w:top w:val="nil"/>
            </w:tcBorders>
            <w:shd w:val="clear" w:color="auto" w:fill="auto"/>
            <w:noWrap/>
            <w:vAlign w:val="bottom"/>
            <w:hideMark/>
          </w:tcPr>
          <w:p w14:paraId="0D4CA22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42.11</w:t>
            </w:r>
          </w:p>
        </w:tc>
        <w:tc>
          <w:tcPr>
            <w:tcW w:w="896" w:type="dxa"/>
            <w:tcBorders>
              <w:top w:val="nil"/>
            </w:tcBorders>
            <w:shd w:val="clear" w:color="auto" w:fill="auto"/>
            <w:noWrap/>
            <w:vAlign w:val="bottom"/>
            <w:hideMark/>
          </w:tcPr>
          <w:p w14:paraId="4FF6AA4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42</w:t>
            </w:r>
          </w:p>
        </w:tc>
        <w:tc>
          <w:tcPr>
            <w:tcW w:w="897" w:type="dxa"/>
            <w:tcBorders>
              <w:top w:val="nil"/>
            </w:tcBorders>
            <w:shd w:val="clear" w:color="auto" w:fill="auto"/>
            <w:noWrap/>
            <w:vAlign w:val="bottom"/>
            <w:hideMark/>
          </w:tcPr>
          <w:p w14:paraId="44F06C3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63.64</w:t>
            </w:r>
          </w:p>
        </w:tc>
        <w:tc>
          <w:tcPr>
            <w:tcW w:w="805" w:type="dxa"/>
            <w:tcBorders>
              <w:top w:val="nil"/>
            </w:tcBorders>
          </w:tcPr>
          <w:p w14:paraId="567574AB"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58</w:t>
            </w:r>
          </w:p>
        </w:tc>
        <w:tc>
          <w:tcPr>
            <w:tcW w:w="992" w:type="dxa"/>
            <w:tcBorders>
              <w:top w:val="nil"/>
            </w:tcBorders>
          </w:tcPr>
          <w:p w14:paraId="73099E68"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55.76</w:t>
            </w:r>
          </w:p>
        </w:tc>
      </w:tr>
      <w:tr w:rsidR="009E1104" w:rsidRPr="00CE4512" w14:paraId="55BB4162" w14:textId="77777777" w:rsidTr="001F682F">
        <w:trPr>
          <w:trHeight w:val="315"/>
          <w:jc w:val="center"/>
        </w:trPr>
        <w:tc>
          <w:tcPr>
            <w:tcW w:w="2120" w:type="dxa"/>
            <w:tcBorders>
              <w:top w:val="nil"/>
              <w:bottom w:val="nil"/>
            </w:tcBorders>
            <w:shd w:val="clear" w:color="auto" w:fill="auto"/>
            <w:noWrap/>
            <w:hideMark/>
          </w:tcPr>
          <w:p w14:paraId="0030AC5F" w14:textId="21309990" w:rsidR="009E1104" w:rsidRPr="009E1104" w:rsidRDefault="009E1104" w:rsidP="009E1104">
            <w:pPr>
              <w:contextualSpacing/>
              <w:rPr>
                <w:rFonts w:ascii="Times New Roman" w:hAnsi="Times New Roman"/>
                <w:sz w:val="24"/>
                <w:szCs w:val="24"/>
              </w:rPr>
            </w:pPr>
            <w:proofErr w:type="spellStart"/>
            <w:r w:rsidRPr="009E1104">
              <w:rPr>
                <w:rFonts w:ascii="Times New Roman" w:hAnsi="Times New Roman"/>
                <w:sz w:val="24"/>
                <w:szCs w:val="24"/>
              </w:rPr>
              <w:t>Obese</w:t>
            </w:r>
            <w:proofErr w:type="spellEnd"/>
          </w:p>
        </w:tc>
        <w:tc>
          <w:tcPr>
            <w:tcW w:w="896" w:type="dxa"/>
            <w:tcBorders>
              <w:top w:val="nil"/>
              <w:bottom w:val="nil"/>
            </w:tcBorders>
            <w:shd w:val="clear" w:color="auto" w:fill="auto"/>
            <w:noWrap/>
            <w:vAlign w:val="bottom"/>
            <w:hideMark/>
          </w:tcPr>
          <w:p w14:paraId="6651629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6</w:t>
            </w:r>
          </w:p>
        </w:tc>
        <w:tc>
          <w:tcPr>
            <w:tcW w:w="897" w:type="dxa"/>
            <w:tcBorders>
              <w:top w:val="nil"/>
              <w:bottom w:val="nil"/>
            </w:tcBorders>
            <w:shd w:val="clear" w:color="auto" w:fill="auto"/>
            <w:noWrap/>
            <w:vAlign w:val="bottom"/>
            <w:hideMark/>
          </w:tcPr>
          <w:p w14:paraId="5B414ABF"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15.79</w:t>
            </w:r>
          </w:p>
        </w:tc>
        <w:tc>
          <w:tcPr>
            <w:tcW w:w="896" w:type="dxa"/>
            <w:tcBorders>
              <w:top w:val="nil"/>
              <w:bottom w:val="nil"/>
            </w:tcBorders>
            <w:shd w:val="clear" w:color="auto" w:fill="auto"/>
            <w:noWrap/>
            <w:vAlign w:val="bottom"/>
            <w:hideMark/>
          </w:tcPr>
          <w:p w14:paraId="72DD7992"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2</w:t>
            </w:r>
          </w:p>
        </w:tc>
        <w:tc>
          <w:tcPr>
            <w:tcW w:w="897" w:type="dxa"/>
            <w:tcBorders>
              <w:top w:val="nil"/>
              <w:bottom w:val="nil"/>
            </w:tcBorders>
            <w:shd w:val="clear" w:color="auto" w:fill="auto"/>
            <w:noWrap/>
            <w:vAlign w:val="bottom"/>
            <w:hideMark/>
          </w:tcPr>
          <w:p w14:paraId="358DBD5E"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3.03</w:t>
            </w:r>
          </w:p>
        </w:tc>
        <w:tc>
          <w:tcPr>
            <w:tcW w:w="805" w:type="dxa"/>
            <w:tcBorders>
              <w:top w:val="nil"/>
              <w:bottom w:val="nil"/>
            </w:tcBorders>
          </w:tcPr>
          <w:p w14:paraId="19A68536"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8</w:t>
            </w:r>
          </w:p>
        </w:tc>
        <w:tc>
          <w:tcPr>
            <w:tcW w:w="992" w:type="dxa"/>
            <w:tcBorders>
              <w:top w:val="nil"/>
              <w:bottom w:val="nil"/>
            </w:tcBorders>
          </w:tcPr>
          <w:p w14:paraId="245115BA" w14:textId="77777777" w:rsidR="009E1104" w:rsidRPr="00CE4512" w:rsidRDefault="009E1104" w:rsidP="009E1104">
            <w:pPr>
              <w:contextualSpacing/>
              <w:jc w:val="center"/>
              <w:rPr>
                <w:rFonts w:ascii="Times New Roman" w:hAnsi="Times New Roman"/>
                <w:sz w:val="24"/>
                <w:szCs w:val="24"/>
              </w:rPr>
            </w:pPr>
            <w:r w:rsidRPr="00CE4512">
              <w:rPr>
                <w:rFonts w:ascii="Times New Roman" w:hAnsi="Times New Roman"/>
                <w:sz w:val="24"/>
                <w:szCs w:val="24"/>
              </w:rPr>
              <w:t>7.71</w:t>
            </w:r>
          </w:p>
        </w:tc>
      </w:tr>
      <w:tr w:rsidR="006A70EA" w:rsidRPr="00CE4512" w14:paraId="497747DB" w14:textId="77777777" w:rsidTr="007915E2">
        <w:trPr>
          <w:trHeight w:val="315"/>
          <w:jc w:val="center"/>
        </w:trPr>
        <w:tc>
          <w:tcPr>
            <w:tcW w:w="2120" w:type="dxa"/>
            <w:tcBorders>
              <w:top w:val="nil"/>
              <w:bottom w:val="single" w:sz="4" w:space="0" w:color="auto"/>
            </w:tcBorders>
            <w:shd w:val="clear" w:color="auto" w:fill="auto"/>
            <w:noWrap/>
            <w:vAlign w:val="bottom"/>
            <w:hideMark/>
          </w:tcPr>
          <w:p w14:paraId="0BC82B04" w14:textId="77777777" w:rsidR="006A70EA" w:rsidRPr="00CE4512" w:rsidRDefault="006A70EA" w:rsidP="00E929D5">
            <w:pPr>
              <w:contextualSpacing/>
              <w:rPr>
                <w:rFonts w:ascii="Times New Roman" w:hAnsi="Times New Roman"/>
                <w:sz w:val="24"/>
                <w:szCs w:val="24"/>
              </w:rPr>
            </w:pPr>
            <w:r w:rsidRPr="00CE4512">
              <w:rPr>
                <w:rFonts w:ascii="Times New Roman" w:hAnsi="Times New Roman"/>
                <w:sz w:val="24"/>
                <w:szCs w:val="24"/>
              </w:rPr>
              <w:t>TOTAL</w:t>
            </w:r>
          </w:p>
        </w:tc>
        <w:tc>
          <w:tcPr>
            <w:tcW w:w="896" w:type="dxa"/>
            <w:tcBorders>
              <w:top w:val="nil"/>
              <w:bottom w:val="single" w:sz="4" w:space="0" w:color="auto"/>
            </w:tcBorders>
            <w:shd w:val="clear" w:color="auto" w:fill="auto"/>
            <w:noWrap/>
            <w:vAlign w:val="bottom"/>
            <w:hideMark/>
          </w:tcPr>
          <w:p w14:paraId="1926E6D6"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38</w:t>
            </w:r>
          </w:p>
        </w:tc>
        <w:tc>
          <w:tcPr>
            <w:tcW w:w="897" w:type="dxa"/>
            <w:tcBorders>
              <w:top w:val="nil"/>
              <w:bottom w:val="single" w:sz="4" w:space="0" w:color="auto"/>
            </w:tcBorders>
            <w:shd w:val="clear" w:color="auto" w:fill="auto"/>
            <w:noWrap/>
            <w:vAlign w:val="bottom"/>
            <w:hideMark/>
          </w:tcPr>
          <w:p w14:paraId="047263EE"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100.00</w:t>
            </w:r>
          </w:p>
        </w:tc>
        <w:tc>
          <w:tcPr>
            <w:tcW w:w="896" w:type="dxa"/>
            <w:tcBorders>
              <w:top w:val="nil"/>
              <w:bottom w:val="single" w:sz="4" w:space="0" w:color="auto"/>
            </w:tcBorders>
            <w:shd w:val="clear" w:color="auto" w:fill="auto"/>
            <w:noWrap/>
            <w:vAlign w:val="bottom"/>
            <w:hideMark/>
          </w:tcPr>
          <w:p w14:paraId="3370602D"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66</w:t>
            </w:r>
          </w:p>
        </w:tc>
        <w:tc>
          <w:tcPr>
            <w:tcW w:w="897" w:type="dxa"/>
            <w:tcBorders>
              <w:top w:val="nil"/>
              <w:bottom w:val="single" w:sz="4" w:space="0" w:color="auto"/>
            </w:tcBorders>
            <w:shd w:val="clear" w:color="auto" w:fill="auto"/>
            <w:noWrap/>
            <w:vAlign w:val="bottom"/>
            <w:hideMark/>
          </w:tcPr>
          <w:p w14:paraId="79267975"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100.00</w:t>
            </w:r>
          </w:p>
        </w:tc>
        <w:tc>
          <w:tcPr>
            <w:tcW w:w="805" w:type="dxa"/>
            <w:tcBorders>
              <w:top w:val="nil"/>
              <w:bottom w:val="single" w:sz="4" w:space="0" w:color="auto"/>
            </w:tcBorders>
          </w:tcPr>
          <w:p w14:paraId="540E78E9"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104</w:t>
            </w:r>
          </w:p>
        </w:tc>
        <w:tc>
          <w:tcPr>
            <w:tcW w:w="992" w:type="dxa"/>
            <w:tcBorders>
              <w:top w:val="nil"/>
              <w:bottom w:val="single" w:sz="4" w:space="0" w:color="auto"/>
            </w:tcBorders>
          </w:tcPr>
          <w:p w14:paraId="4A4162C7" w14:textId="77777777" w:rsidR="006A70EA" w:rsidRPr="00CE4512" w:rsidRDefault="006A70EA" w:rsidP="00E929D5">
            <w:pPr>
              <w:contextualSpacing/>
              <w:jc w:val="center"/>
              <w:rPr>
                <w:rFonts w:ascii="Times New Roman" w:hAnsi="Times New Roman"/>
                <w:sz w:val="24"/>
                <w:szCs w:val="24"/>
              </w:rPr>
            </w:pPr>
            <w:r w:rsidRPr="00CE4512">
              <w:rPr>
                <w:rFonts w:ascii="Times New Roman" w:hAnsi="Times New Roman"/>
                <w:sz w:val="24"/>
                <w:szCs w:val="24"/>
              </w:rPr>
              <w:t>100.0</w:t>
            </w:r>
          </w:p>
        </w:tc>
      </w:tr>
    </w:tbl>
    <w:p w14:paraId="68748ECE" w14:textId="77E2B9F1" w:rsidR="006E4193" w:rsidRDefault="006E4193" w:rsidP="00E929D5">
      <w:pPr>
        <w:spacing w:line="360" w:lineRule="auto"/>
        <w:jc w:val="both"/>
        <w:rPr>
          <w:rFonts w:ascii="Times New Roman" w:hAnsi="Times New Roman"/>
          <w:sz w:val="24"/>
          <w:szCs w:val="24"/>
        </w:rPr>
      </w:pPr>
      <w:r>
        <w:rPr>
          <w:rFonts w:ascii="Times New Roman" w:hAnsi="Times New Roman"/>
          <w:sz w:val="24"/>
          <w:szCs w:val="24"/>
        </w:rPr>
        <w:tab/>
        <w:t>42.11 + 15.79 = 57.9 %</w:t>
      </w:r>
    </w:p>
    <w:p w14:paraId="39730052" w14:textId="28957AEF" w:rsidR="009E1104" w:rsidRDefault="009E1104" w:rsidP="009E1104">
      <w:pPr>
        <w:spacing w:line="360" w:lineRule="auto"/>
        <w:ind w:firstLine="708"/>
        <w:jc w:val="both"/>
        <w:rPr>
          <w:rFonts w:ascii="Times New Roman" w:hAnsi="Times New Roman"/>
          <w:sz w:val="24"/>
          <w:szCs w:val="24"/>
        </w:rPr>
      </w:pPr>
      <w:bookmarkStart w:id="3" w:name="_Toc31132731"/>
      <w:proofErr w:type="spellStart"/>
      <w:r w:rsidRPr="009E1104">
        <w:rPr>
          <w:rFonts w:ascii="Times New Roman" w:hAnsi="Times New Roman"/>
          <w:sz w:val="24"/>
          <w:szCs w:val="24"/>
        </w:rPr>
        <w:t>Excess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weight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overweight</w:t>
      </w:r>
      <w:proofErr w:type="spellEnd"/>
      <w:r w:rsidRPr="009E1104">
        <w:rPr>
          <w:rFonts w:ascii="Times New Roman" w:hAnsi="Times New Roman"/>
          <w:sz w:val="24"/>
          <w:szCs w:val="24"/>
        </w:rPr>
        <w:t xml:space="preserve"> plus </w:t>
      </w:r>
      <w:proofErr w:type="spellStart"/>
      <w:r w:rsidRPr="009E1104">
        <w:rPr>
          <w:rFonts w:ascii="Times New Roman" w:hAnsi="Times New Roman"/>
          <w:sz w:val="24"/>
          <w:szCs w:val="24"/>
        </w:rPr>
        <w:t>obesity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affects</w:t>
      </w:r>
      <w:proofErr w:type="spellEnd"/>
      <w:r w:rsidRPr="009E1104">
        <w:rPr>
          <w:rFonts w:ascii="Times New Roman" w:hAnsi="Times New Roman"/>
          <w:sz w:val="24"/>
          <w:szCs w:val="24"/>
        </w:rPr>
        <w:t xml:space="preserve"> 57.9% of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population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studied</w:t>
      </w:r>
      <w:proofErr w:type="spellEnd"/>
      <w:r w:rsidRPr="009E1104">
        <w:rPr>
          <w:rFonts w:ascii="Times New Roman" w:hAnsi="Times New Roman"/>
          <w:sz w:val="24"/>
          <w:szCs w:val="24"/>
        </w:rPr>
        <w:t xml:space="preserve"> in males. </w:t>
      </w:r>
      <w:proofErr w:type="spellStart"/>
      <w:r w:rsidRPr="009E1104">
        <w:rPr>
          <w:rFonts w:ascii="Times New Roman" w:hAnsi="Times New Roman"/>
          <w:sz w:val="24"/>
          <w:szCs w:val="24"/>
        </w:rPr>
        <w:t>Females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present</w:t>
      </w:r>
      <w:proofErr w:type="spellEnd"/>
      <w:r w:rsidRPr="009E1104">
        <w:rPr>
          <w:rFonts w:ascii="Times New Roman" w:hAnsi="Times New Roman"/>
          <w:sz w:val="24"/>
          <w:szCs w:val="24"/>
        </w:rPr>
        <w:t xml:space="preserve"> more </w:t>
      </w:r>
      <w:proofErr w:type="spellStart"/>
      <w:r w:rsidRPr="009E1104">
        <w:rPr>
          <w:rFonts w:ascii="Times New Roman" w:hAnsi="Times New Roman"/>
          <w:sz w:val="24"/>
          <w:szCs w:val="24"/>
        </w:rPr>
        <w:t>than</w:t>
      </w:r>
      <w:proofErr w:type="spellEnd"/>
      <w:r w:rsidRPr="009E1104">
        <w:rPr>
          <w:rFonts w:ascii="Times New Roman" w:hAnsi="Times New Roman"/>
          <w:sz w:val="24"/>
          <w:szCs w:val="24"/>
        </w:rPr>
        <w:t xml:space="preserve"> 20% more </w:t>
      </w:r>
      <w:proofErr w:type="spellStart"/>
      <w:r w:rsidRPr="009E1104">
        <w:rPr>
          <w:rFonts w:ascii="Times New Roman" w:hAnsi="Times New Roman"/>
          <w:sz w:val="24"/>
          <w:szCs w:val="24"/>
        </w:rPr>
        <w:t>overweight</w:t>
      </w:r>
      <w:proofErr w:type="spellEnd"/>
      <w:r w:rsidRPr="009E1104">
        <w:rPr>
          <w:rFonts w:ascii="Times New Roman" w:hAnsi="Times New Roman"/>
          <w:sz w:val="24"/>
          <w:szCs w:val="24"/>
        </w:rPr>
        <w:t xml:space="preserve"> (63.64%) </w:t>
      </w:r>
      <w:proofErr w:type="spellStart"/>
      <w:r w:rsidRPr="009E1104">
        <w:rPr>
          <w:rFonts w:ascii="Times New Roman" w:hAnsi="Times New Roman"/>
          <w:sz w:val="24"/>
          <w:szCs w:val="24"/>
        </w:rPr>
        <w:t>than</w:t>
      </w:r>
      <w:proofErr w:type="spellEnd"/>
      <w:r w:rsidRPr="009E1104">
        <w:rPr>
          <w:rFonts w:ascii="Times New Roman" w:hAnsi="Times New Roman"/>
          <w:sz w:val="24"/>
          <w:szCs w:val="24"/>
        </w:rPr>
        <w:t xml:space="preserve"> males (42.11%), </w:t>
      </w:r>
      <w:proofErr w:type="spellStart"/>
      <w:r w:rsidRPr="009E1104">
        <w:rPr>
          <w:rFonts w:ascii="Times New Roman" w:hAnsi="Times New Roman"/>
          <w:sz w:val="24"/>
          <w:szCs w:val="24"/>
        </w:rPr>
        <w:t>while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prevalence</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obesity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affects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mostly</w:t>
      </w:r>
      <w:proofErr w:type="spellEnd"/>
      <w:r w:rsidRPr="009E1104">
        <w:rPr>
          <w:rFonts w:ascii="Times New Roman" w:hAnsi="Times New Roman"/>
          <w:sz w:val="24"/>
          <w:szCs w:val="24"/>
        </w:rPr>
        <w:t xml:space="preserve"> males (15.79%) </w:t>
      </w:r>
      <w:proofErr w:type="spellStart"/>
      <w:r w:rsidRPr="009E1104">
        <w:rPr>
          <w:rFonts w:ascii="Times New Roman" w:hAnsi="Times New Roman"/>
          <w:sz w:val="24"/>
          <w:szCs w:val="24"/>
        </w:rPr>
        <w:t>compared</w:t>
      </w:r>
      <w:proofErr w:type="spellEnd"/>
      <w:r w:rsidRPr="009E1104">
        <w:rPr>
          <w:rFonts w:ascii="Times New Roman" w:hAnsi="Times New Roman"/>
          <w:sz w:val="24"/>
          <w:szCs w:val="24"/>
        </w:rPr>
        <w:t xml:space="preserve"> to 3.03% of </w:t>
      </w:r>
      <w:proofErr w:type="spellStart"/>
      <w:r w:rsidRPr="009E1104">
        <w:rPr>
          <w:rFonts w:ascii="Times New Roman" w:hAnsi="Times New Roman"/>
          <w:sz w:val="24"/>
          <w:szCs w:val="24"/>
        </w:rPr>
        <w:t>obesity</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females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Table</w:t>
      </w:r>
      <w:proofErr w:type="spellEnd"/>
      <w:r w:rsidRPr="009E1104">
        <w:rPr>
          <w:rFonts w:ascii="Times New Roman" w:hAnsi="Times New Roman"/>
          <w:sz w:val="24"/>
          <w:szCs w:val="24"/>
        </w:rPr>
        <w:t xml:space="preserve"> 3)</w:t>
      </w:r>
      <w:r w:rsidR="00AB63A7">
        <w:rPr>
          <w:rFonts w:ascii="Times New Roman" w:hAnsi="Times New Roman"/>
          <w:sz w:val="24"/>
          <w:szCs w:val="24"/>
        </w:rPr>
        <w:t>.</w:t>
      </w:r>
    </w:p>
    <w:p w14:paraId="311145AB" w14:textId="31411B7A" w:rsidR="009E1104" w:rsidRPr="009E1104" w:rsidRDefault="00C45509" w:rsidP="00E929D5">
      <w:pPr>
        <w:spacing w:line="360" w:lineRule="auto"/>
        <w:jc w:val="both"/>
        <w:rPr>
          <w:rFonts w:ascii="Times New Roman" w:hAnsi="Times New Roman"/>
          <w:b/>
          <w:bCs/>
          <w:sz w:val="24"/>
          <w:szCs w:val="24"/>
        </w:rPr>
      </w:pPr>
      <w:proofErr w:type="spellStart"/>
      <w:r w:rsidRPr="009E1104">
        <w:rPr>
          <w:rFonts w:ascii="Times New Roman" w:hAnsi="Times New Roman"/>
          <w:b/>
          <w:bCs/>
          <w:iCs/>
          <w:sz w:val="24"/>
          <w:szCs w:val="24"/>
        </w:rPr>
        <w:t>Tabl</w:t>
      </w:r>
      <w:r w:rsidR="009E1104">
        <w:rPr>
          <w:rFonts w:ascii="Times New Roman" w:hAnsi="Times New Roman"/>
          <w:b/>
          <w:bCs/>
          <w:iCs/>
          <w:sz w:val="24"/>
          <w:szCs w:val="24"/>
        </w:rPr>
        <w:t>e</w:t>
      </w:r>
      <w:proofErr w:type="spellEnd"/>
      <w:r w:rsidRPr="009E1104">
        <w:rPr>
          <w:rFonts w:ascii="Times New Roman" w:hAnsi="Times New Roman"/>
          <w:b/>
          <w:bCs/>
          <w:iCs/>
          <w:sz w:val="24"/>
          <w:szCs w:val="24"/>
        </w:rPr>
        <w:t xml:space="preserve"> </w:t>
      </w:r>
      <w:r w:rsidR="00E25925" w:rsidRPr="009E1104">
        <w:rPr>
          <w:rFonts w:ascii="Times New Roman" w:hAnsi="Times New Roman"/>
          <w:b/>
          <w:bCs/>
          <w:iCs/>
          <w:sz w:val="24"/>
          <w:szCs w:val="24"/>
        </w:rPr>
        <w:t>4</w:t>
      </w:r>
      <w:r w:rsidR="00E25925" w:rsidRPr="009E1104">
        <w:rPr>
          <w:rFonts w:ascii="Times New Roman" w:hAnsi="Times New Roman"/>
          <w:b/>
          <w:bCs/>
          <w:sz w:val="24"/>
          <w:szCs w:val="24"/>
        </w:rPr>
        <w:t xml:space="preserve"> </w:t>
      </w:r>
    </w:p>
    <w:p w14:paraId="603F2AB6" w14:textId="044A6B55" w:rsidR="00C45509" w:rsidRPr="00CE4512" w:rsidRDefault="009E1104" w:rsidP="00E929D5">
      <w:pPr>
        <w:spacing w:line="360" w:lineRule="auto"/>
        <w:jc w:val="both"/>
        <w:rPr>
          <w:rFonts w:ascii="Times New Roman" w:hAnsi="Times New Roman"/>
          <w:b/>
          <w:sz w:val="24"/>
          <w:szCs w:val="24"/>
        </w:rPr>
      </w:pPr>
      <w:r w:rsidRPr="009E1104">
        <w:rPr>
          <w:rFonts w:ascii="Times New Roman" w:hAnsi="Times New Roman"/>
          <w:bCs/>
          <w:i/>
          <w:iCs/>
          <w:sz w:val="24"/>
          <w:szCs w:val="24"/>
        </w:rPr>
        <w:t xml:space="preserve">Personal and </w:t>
      </w:r>
      <w:proofErr w:type="spellStart"/>
      <w:r w:rsidRPr="009E1104">
        <w:rPr>
          <w:rFonts w:ascii="Times New Roman" w:hAnsi="Times New Roman"/>
          <w:bCs/>
          <w:i/>
          <w:iCs/>
          <w:sz w:val="24"/>
          <w:szCs w:val="24"/>
        </w:rPr>
        <w:t>family</w:t>
      </w:r>
      <w:proofErr w:type="spellEnd"/>
      <w:r w:rsidRPr="009E1104">
        <w:rPr>
          <w:rFonts w:ascii="Times New Roman" w:hAnsi="Times New Roman"/>
          <w:bCs/>
          <w:i/>
          <w:iCs/>
          <w:sz w:val="24"/>
          <w:szCs w:val="24"/>
        </w:rPr>
        <w:t xml:space="preserve"> </w:t>
      </w:r>
      <w:proofErr w:type="spellStart"/>
      <w:r w:rsidRPr="009E1104">
        <w:rPr>
          <w:rFonts w:ascii="Times New Roman" w:hAnsi="Times New Roman"/>
          <w:bCs/>
          <w:i/>
          <w:iCs/>
          <w:sz w:val="24"/>
          <w:szCs w:val="24"/>
        </w:rPr>
        <w:t>background</w:t>
      </w:r>
      <w:proofErr w:type="spellEnd"/>
      <w:r w:rsidRPr="009E1104">
        <w:rPr>
          <w:rFonts w:ascii="Times New Roman" w:hAnsi="Times New Roman"/>
          <w:bCs/>
          <w:i/>
          <w:iCs/>
          <w:sz w:val="24"/>
          <w:szCs w:val="24"/>
        </w:rPr>
        <w:t xml:space="preserve"> </w:t>
      </w:r>
      <w:proofErr w:type="spellStart"/>
      <w:r w:rsidRPr="009E1104">
        <w:rPr>
          <w:rFonts w:ascii="Times New Roman" w:hAnsi="Times New Roman"/>
          <w:bCs/>
          <w:i/>
          <w:iCs/>
          <w:sz w:val="24"/>
          <w:szCs w:val="24"/>
        </w:rPr>
        <w:t>among</w:t>
      </w:r>
      <w:proofErr w:type="spellEnd"/>
      <w:r w:rsidRPr="009E1104">
        <w:rPr>
          <w:rFonts w:ascii="Times New Roman" w:hAnsi="Times New Roman"/>
          <w:bCs/>
          <w:i/>
          <w:iCs/>
          <w:sz w:val="24"/>
          <w:szCs w:val="24"/>
        </w:rPr>
        <w:t xml:space="preserve"> </w:t>
      </w:r>
      <w:proofErr w:type="spellStart"/>
      <w:r w:rsidRPr="009E1104">
        <w:rPr>
          <w:rFonts w:ascii="Times New Roman" w:hAnsi="Times New Roman"/>
          <w:bCs/>
          <w:i/>
          <w:iCs/>
          <w:sz w:val="24"/>
          <w:szCs w:val="24"/>
        </w:rPr>
        <w:t>interviewees</w:t>
      </w:r>
      <w:proofErr w:type="spellEnd"/>
      <w:r w:rsidR="00C45509" w:rsidRPr="00CE4512">
        <w:rPr>
          <w:rFonts w:ascii="Times New Roman" w:hAnsi="Times New Roman"/>
          <w:bCs/>
          <w:sz w:val="24"/>
          <w:szCs w:val="24"/>
        </w:rPr>
        <w:t>.</w:t>
      </w:r>
      <w:bookmarkEnd w:id="3"/>
    </w:p>
    <w:tbl>
      <w:tblPr>
        <w:tblW w:w="7904" w:type="dxa"/>
        <w:jc w:val="center"/>
        <w:tblCellMar>
          <w:left w:w="70" w:type="dxa"/>
          <w:right w:w="70" w:type="dxa"/>
        </w:tblCellMar>
        <w:tblLook w:val="04A0" w:firstRow="1" w:lastRow="0" w:firstColumn="1" w:lastColumn="0" w:noHBand="0" w:noVBand="1"/>
      </w:tblPr>
      <w:tblGrid>
        <w:gridCol w:w="4224"/>
        <w:gridCol w:w="749"/>
        <w:gridCol w:w="1091"/>
        <w:gridCol w:w="666"/>
        <w:gridCol w:w="1174"/>
      </w:tblGrid>
      <w:tr w:rsidR="00C45509" w:rsidRPr="00CE4512" w14:paraId="7D338798" w14:textId="77777777" w:rsidTr="00CD0E97">
        <w:trPr>
          <w:trHeight w:val="300"/>
          <w:jc w:val="center"/>
        </w:trPr>
        <w:tc>
          <w:tcPr>
            <w:tcW w:w="4224" w:type="dxa"/>
            <w:vMerge w:val="restart"/>
            <w:tcBorders>
              <w:top w:val="single" w:sz="4" w:space="0" w:color="auto"/>
            </w:tcBorders>
            <w:shd w:val="clear" w:color="auto" w:fill="auto"/>
            <w:vAlign w:val="center"/>
            <w:hideMark/>
          </w:tcPr>
          <w:p w14:paraId="72567788" w14:textId="7A787FE4" w:rsidR="00C45509" w:rsidRPr="00CE4512" w:rsidRDefault="009E1104" w:rsidP="00E929D5">
            <w:pPr>
              <w:spacing w:after="0" w:line="240" w:lineRule="auto"/>
              <w:jc w:val="center"/>
              <w:rPr>
                <w:rFonts w:ascii="Times New Roman" w:hAnsi="Times New Roman"/>
                <w:sz w:val="24"/>
                <w:szCs w:val="24"/>
              </w:rPr>
            </w:pPr>
            <w:r w:rsidRPr="009E1104">
              <w:rPr>
                <w:rFonts w:ascii="Times New Roman" w:hAnsi="Times New Roman"/>
                <w:sz w:val="24"/>
                <w:szCs w:val="24"/>
              </w:rPr>
              <w:t>Personal and/</w:t>
            </w:r>
            <w:proofErr w:type="spellStart"/>
            <w:r w:rsidRPr="009E1104">
              <w:rPr>
                <w:rFonts w:ascii="Times New Roman" w:hAnsi="Times New Roman"/>
                <w:sz w:val="24"/>
                <w:szCs w:val="24"/>
              </w:rPr>
              <w:t>or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family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history</w:t>
            </w:r>
            <w:proofErr w:type="spellEnd"/>
          </w:p>
        </w:tc>
        <w:tc>
          <w:tcPr>
            <w:tcW w:w="1840" w:type="dxa"/>
            <w:gridSpan w:val="2"/>
            <w:tcBorders>
              <w:top w:val="single" w:sz="4" w:space="0" w:color="auto"/>
            </w:tcBorders>
            <w:shd w:val="clear" w:color="auto" w:fill="auto"/>
            <w:noWrap/>
            <w:vAlign w:val="bottom"/>
            <w:hideMark/>
          </w:tcPr>
          <w:p w14:paraId="7A34A06D" w14:textId="42EEB2A2" w:rsidR="00C45509" w:rsidRPr="00CE4512" w:rsidRDefault="009E1104" w:rsidP="00E929D5">
            <w:pPr>
              <w:spacing w:after="0" w:line="240" w:lineRule="auto"/>
              <w:jc w:val="center"/>
              <w:rPr>
                <w:rFonts w:ascii="Times New Roman" w:hAnsi="Times New Roman"/>
                <w:sz w:val="24"/>
                <w:szCs w:val="24"/>
              </w:rPr>
            </w:pPr>
            <w:r>
              <w:rPr>
                <w:rFonts w:ascii="Times New Roman" w:hAnsi="Times New Roman"/>
                <w:sz w:val="24"/>
                <w:szCs w:val="24"/>
              </w:rPr>
              <w:t>Yes</w:t>
            </w:r>
          </w:p>
        </w:tc>
        <w:tc>
          <w:tcPr>
            <w:tcW w:w="1840" w:type="dxa"/>
            <w:gridSpan w:val="2"/>
            <w:tcBorders>
              <w:top w:val="single" w:sz="4" w:space="0" w:color="auto"/>
            </w:tcBorders>
            <w:shd w:val="clear" w:color="auto" w:fill="auto"/>
            <w:noWrap/>
            <w:vAlign w:val="bottom"/>
            <w:hideMark/>
          </w:tcPr>
          <w:p w14:paraId="4FFB77E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No</w:t>
            </w:r>
          </w:p>
        </w:tc>
      </w:tr>
      <w:tr w:rsidR="00C45509" w:rsidRPr="00CE4512" w14:paraId="7C7872F6" w14:textId="77777777" w:rsidTr="00CD0E97">
        <w:trPr>
          <w:trHeight w:val="300"/>
          <w:jc w:val="center"/>
        </w:trPr>
        <w:tc>
          <w:tcPr>
            <w:tcW w:w="4224" w:type="dxa"/>
            <w:vMerge/>
            <w:tcBorders>
              <w:bottom w:val="single" w:sz="4" w:space="0" w:color="auto"/>
            </w:tcBorders>
            <w:vAlign w:val="center"/>
            <w:hideMark/>
          </w:tcPr>
          <w:p w14:paraId="3CE5D8A4" w14:textId="77777777" w:rsidR="00C45509" w:rsidRPr="00CE4512" w:rsidRDefault="00C45509" w:rsidP="00E929D5">
            <w:pPr>
              <w:spacing w:after="0" w:line="240" w:lineRule="auto"/>
              <w:rPr>
                <w:rFonts w:ascii="Times New Roman" w:hAnsi="Times New Roman"/>
                <w:sz w:val="24"/>
                <w:szCs w:val="24"/>
              </w:rPr>
            </w:pPr>
          </w:p>
        </w:tc>
        <w:tc>
          <w:tcPr>
            <w:tcW w:w="749" w:type="dxa"/>
            <w:tcBorders>
              <w:bottom w:val="single" w:sz="4" w:space="0" w:color="auto"/>
            </w:tcBorders>
            <w:shd w:val="clear" w:color="auto" w:fill="auto"/>
            <w:noWrap/>
            <w:vAlign w:val="bottom"/>
            <w:hideMark/>
          </w:tcPr>
          <w:p w14:paraId="58B4E052"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2E0E945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w:t>
            </w:r>
          </w:p>
        </w:tc>
        <w:tc>
          <w:tcPr>
            <w:tcW w:w="666" w:type="dxa"/>
            <w:tcBorders>
              <w:bottom w:val="single" w:sz="4" w:space="0" w:color="auto"/>
            </w:tcBorders>
            <w:shd w:val="clear" w:color="auto" w:fill="auto"/>
            <w:noWrap/>
            <w:vAlign w:val="bottom"/>
            <w:hideMark/>
          </w:tcPr>
          <w:p w14:paraId="005D8C53"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N°</w:t>
            </w:r>
          </w:p>
        </w:tc>
        <w:tc>
          <w:tcPr>
            <w:tcW w:w="1174" w:type="dxa"/>
            <w:tcBorders>
              <w:bottom w:val="single" w:sz="4" w:space="0" w:color="auto"/>
            </w:tcBorders>
            <w:shd w:val="clear" w:color="auto" w:fill="auto"/>
            <w:noWrap/>
            <w:vAlign w:val="bottom"/>
            <w:hideMark/>
          </w:tcPr>
          <w:p w14:paraId="1FDD00E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w:t>
            </w:r>
          </w:p>
        </w:tc>
      </w:tr>
      <w:tr w:rsidR="00C45509" w:rsidRPr="00CE4512" w14:paraId="19722D15" w14:textId="77777777" w:rsidTr="00CD0E97">
        <w:trPr>
          <w:trHeight w:val="300"/>
          <w:jc w:val="center"/>
        </w:trPr>
        <w:tc>
          <w:tcPr>
            <w:tcW w:w="4224" w:type="dxa"/>
            <w:tcBorders>
              <w:top w:val="single" w:sz="4" w:space="0" w:color="auto"/>
              <w:bottom w:val="nil"/>
            </w:tcBorders>
            <w:shd w:val="clear" w:color="auto" w:fill="auto"/>
            <w:noWrap/>
            <w:vAlign w:val="bottom"/>
            <w:hideMark/>
          </w:tcPr>
          <w:p w14:paraId="33DF35D0" w14:textId="3363FBBF" w:rsidR="00C45509" w:rsidRPr="00CE4512" w:rsidRDefault="009E1104" w:rsidP="00E929D5">
            <w:pPr>
              <w:spacing w:after="0" w:line="240" w:lineRule="auto"/>
              <w:rPr>
                <w:rFonts w:ascii="Times New Roman" w:hAnsi="Times New Roman"/>
                <w:sz w:val="24"/>
                <w:szCs w:val="24"/>
              </w:rPr>
            </w:pPr>
            <w:r w:rsidRPr="009E1104">
              <w:rPr>
                <w:rFonts w:ascii="Times New Roman" w:hAnsi="Times New Roman"/>
                <w:sz w:val="24"/>
                <w:szCs w:val="24"/>
              </w:rPr>
              <w:t xml:space="preserve">Active </w:t>
            </w:r>
            <w:proofErr w:type="spellStart"/>
            <w:r w:rsidRPr="009E1104">
              <w:rPr>
                <w:rFonts w:ascii="Times New Roman" w:hAnsi="Times New Roman"/>
                <w:sz w:val="24"/>
                <w:szCs w:val="24"/>
              </w:rPr>
              <w:t>smoker</w:t>
            </w:r>
            <w:proofErr w:type="spellEnd"/>
          </w:p>
        </w:tc>
        <w:tc>
          <w:tcPr>
            <w:tcW w:w="749" w:type="dxa"/>
            <w:tcBorders>
              <w:top w:val="single" w:sz="4" w:space="0" w:color="auto"/>
              <w:bottom w:val="nil"/>
            </w:tcBorders>
            <w:shd w:val="clear" w:color="auto" w:fill="auto"/>
            <w:noWrap/>
            <w:vAlign w:val="bottom"/>
            <w:hideMark/>
          </w:tcPr>
          <w:p w14:paraId="15203C84"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2</w:t>
            </w:r>
          </w:p>
        </w:tc>
        <w:tc>
          <w:tcPr>
            <w:tcW w:w="1091" w:type="dxa"/>
            <w:tcBorders>
              <w:top w:val="single" w:sz="4" w:space="0" w:color="auto"/>
              <w:bottom w:val="nil"/>
            </w:tcBorders>
            <w:shd w:val="clear" w:color="auto" w:fill="auto"/>
            <w:noWrap/>
            <w:vAlign w:val="bottom"/>
            <w:hideMark/>
          </w:tcPr>
          <w:p w14:paraId="10BE402A" w14:textId="6D291E26"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w:t>
            </w:r>
            <w:r w:rsidR="009E1104">
              <w:rPr>
                <w:rFonts w:ascii="Times New Roman" w:hAnsi="Times New Roman"/>
                <w:sz w:val="24"/>
                <w:szCs w:val="24"/>
              </w:rPr>
              <w:t>.</w:t>
            </w:r>
            <w:r w:rsidRPr="00CE4512">
              <w:rPr>
                <w:rFonts w:ascii="Times New Roman" w:hAnsi="Times New Roman"/>
                <w:sz w:val="24"/>
                <w:szCs w:val="24"/>
              </w:rPr>
              <w:t>92</w:t>
            </w:r>
          </w:p>
        </w:tc>
        <w:tc>
          <w:tcPr>
            <w:tcW w:w="666" w:type="dxa"/>
            <w:tcBorders>
              <w:top w:val="single" w:sz="4" w:space="0" w:color="auto"/>
              <w:bottom w:val="nil"/>
            </w:tcBorders>
            <w:shd w:val="clear" w:color="auto" w:fill="auto"/>
            <w:noWrap/>
            <w:vAlign w:val="bottom"/>
            <w:hideMark/>
          </w:tcPr>
          <w:p w14:paraId="6DB0452D"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102</w:t>
            </w:r>
          </w:p>
        </w:tc>
        <w:tc>
          <w:tcPr>
            <w:tcW w:w="1174" w:type="dxa"/>
            <w:tcBorders>
              <w:top w:val="single" w:sz="4" w:space="0" w:color="auto"/>
              <w:bottom w:val="nil"/>
            </w:tcBorders>
            <w:shd w:val="clear" w:color="auto" w:fill="auto"/>
            <w:noWrap/>
            <w:vAlign w:val="bottom"/>
            <w:hideMark/>
          </w:tcPr>
          <w:p w14:paraId="1E5AB8D9" w14:textId="06800BD4"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r w:rsidR="009E1104">
              <w:rPr>
                <w:rFonts w:ascii="Times New Roman" w:hAnsi="Times New Roman"/>
                <w:sz w:val="24"/>
                <w:szCs w:val="24"/>
              </w:rPr>
              <w:t>.</w:t>
            </w:r>
            <w:r w:rsidRPr="00CE4512">
              <w:rPr>
                <w:rFonts w:ascii="Times New Roman" w:hAnsi="Times New Roman"/>
                <w:sz w:val="24"/>
                <w:szCs w:val="24"/>
              </w:rPr>
              <w:t>08</w:t>
            </w:r>
          </w:p>
        </w:tc>
      </w:tr>
      <w:tr w:rsidR="00C45509" w:rsidRPr="00CE4512" w14:paraId="61620B45" w14:textId="77777777" w:rsidTr="00CD0E97">
        <w:trPr>
          <w:trHeight w:val="300"/>
          <w:jc w:val="center"/>
        </w:trPr>
        <w:tc>
          <w:tcPr>
            <w:tcW w:w="4224" w:type="dxa"/>
            <w:tcBorders>
              <w:top w:val="nil"/>
              <w:bottom w:val="nil"/>
            </w:tcBorders>
            <w:shd w:val="clear" w:color="auto" w:fill="auto"/>
            <w:noWrap/>
            <w:vAlign w:val="bottom"/>
            <w:hideMark/>
          </w:tcPr>
          <w:p w14:paraId="4C3846B6" w14:textId="68D42163" w:rsidR="00C45509" w:rsidRPr="00CE4512" w:rsidRDefault="009E1104" w:rsidP="00E929D5">
            <w:pPr>
              <w:spacing w:after="0" w:line="240" w:lineRule="auto"/>
              <w:rPr>
                <w:rFonts w:ascii="Times New Roman" w:hAnsi="Times New Roman"/>
                <w:sz w:val="24"/>
                <w:szCs w:val="24"/>
              </w:rPr>
            </w:pPr>
            <w:r w:rsidRPr="009E1104">
              <w:rPr>
                <w:rFonts w:ascii="Times New Roman" w:hAnsi="Times New Roman"/>
                <w:sz w:val="24"/>
                <w:szCs w:val="24"/>
              </w:rPr>
              <w:t xml:space="preserve">Uses </w:t>
            </w:r>
            <w:proofErr w:type="spellStart"/>
            <w:r w:rsidRPr="009E1104">
              <w:rPr>
                <w:rFonts w:ascii="Times New Roman" w:hAnsi="Times New Roman"/>
                <w:sz w:val="24"/>
                <w:szCs w:val="24"/>
              </w:rPr>
              <w:t>glucocorticoids</w:t>
            </w:r>
            <w:proofErr w:type="spellEnd"/>
          </w:p>
        </w:tc>
        <w:tc>
          <w:tcPr>
            <w:tcW w:w="749" w:type="dxa"/>
            <w:tcBorders>
              <w:top w:val="nil"/>
              <w:bottom w:val="nil"/>
            </w:tcBorders>
            <w:shd w:val="clear" w:color="auto" w:fill="auto"/>
            <w:noWrap/>
            <w:vAlign w:val="bottom"/>
            <w:hideMark/>
          </w:tcPr>
          <w:p w14:paraId="25FD83EB"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6</w:t>
            </w:r>
          </w:p>
        </w:tc>
        <w:tc>
          <w:tcPr>
            <w:tcW w:w="1091" w:type="dxa"/>
            <w:tcBorders>
              <w:top w:val="nil"/>
              <w:bottom w:val="nil"/>
            </w:tcBorders>
            <w:shd w:val="clear" w:color="auto" w:fill="auto"/>
            <w:noWrap/>
            <w:vAlign w:val="bottom"/>
            <w:hideMark/>
          </w:tcPr>
          <w:p w14:paraId="09BA9302"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5.77</w:t>
            </w:r>
          </w:p>
        </w:tc>
        <w:tc>
          <w:tcPr>
            <w:tcW w:w="666" w:type="dxa"/>
            <w:tcBorders>
              <w:top w:val="nil"/>
              <w:bottom w:val="nil"/>
            </w:tcBorders>
            <w:shd w:val="clear" w:color="auto" w:fill="auto"/>
            <w:noWrap/>
            <w:vAlign w:val="bottom"/>
            <w:hideMark/>
          </w:tcPr>
          <w:p w14:paraId="55A675E3"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p>
        </w:tc>
        <w:tc>
          <w:tcPr>
            <w:tcW w:w="1174" w:type="dxa"/>
            <w:tcBorders>
              <w:top w:val="nil"/>
              <w:bottom w:val="nil"/>
            </w:tcBorders>
            <w:shd w:val="clear" w:color="auto" w:fill="auto"/>
            <w:noWrap/>
            <w:vAlign w:val="bottom"/>
            <w:hideMark/>
          </w:tcPr>
          <w:p w14:paraId="6E056E3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94.23</w:t>
            </w:r>
          </w:p>
        </w:tc>
      </w:tr>
      <w:tr w:rsidR="00C45509" w:rsidRPr="00CE4512" w14:paraId="3DA6294D" w14:textId="77777777" w:rsidTr="00CD0E97">
        <w:trPr>
          <w:trHeight w:val="300"/>
          <w:jc w:val="center"/>
        </w:trPr>
        <w:tc>
          <w:tcPr>
            <w:tcW w:w="4224" w:type="dxa"/>
            <w:tcBorders>
              <w:top w:val="nil"/>
              <w:bottom w:val="nil"/>
            </w:tcBorders>
            <w:shd w:val="clear" w:color="auto" w:fill="auto"/>
            <w:noWrap/>
            <w:vAlign w:val="bottom"/>
            <w:hideMark/>
          </w:tcPr>
          <w:p w14:paraId="09574770" w14:textId="0F74FADC" w:rsidR="00C45509" w:rsidRPr="00CE4512" w:rsidRDefault="009E1104" w:rsidP="00E929D5">
            <w:pPr>
              <w:spacing w:after="0" w:line="240" w:lineRule="auto"/>
              <w:rPr>
                <w:rFonts w:ascii="Times New Roman" w:hAnsi="Times New Roman"/>
                <w:sz w:val="24"/>
                <w:szCs w:val="24"/>
              </w:rPr>
            </w:pPr>
            <w:proofErr w:type="spellStart"/>
            <w:r>
              <w:rPr>
                <w:rFonts w:ascii="Times New Roman" w:hAnsi="Times New Roman"/>
                <w:sz w:val="24"/>
                <w:szCs w:val="24"/>
              </w:rPr>
              <w:lastRenderedPageBreak/>
              <w:t>S</w:t>
            </w:r>
            <w:r w:rsidRPr="009E1104">
              <w:rPr>
                <w:rFonts w:ascii="Times New Roman" w:hAnsi="Times New Roman"/>
                <w:sz w:val="24"/>
                <w:szCs w:val="24"/>
              </w:rPr>
              <w:t>uffers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from</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rheumatoid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arthritis</w:t>
            </w:r>
            <w:proofErr w:type="spellEnd"/>
          </w:p>
        </w:tc>
        <w:tc>
          <w:tcPr>
            <w:tcW w:w="749" w:type="dxa"/>
            <w:tcBorders>
              <w:top w:val="nil"/>
              <w:bottom w:val="nil"/>
            </w:tcBorders>
            <w:shd w:val="clear" w:color="auto" w:fill="auto"/>
            <w:noWrap/>
            <w:vAlign w:val="bottom"/>
            <w:hideMark/>
          </w:tcPr>
          <w:p w14:paraId="745C405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4</w:t>
            </w:r>
          </w:p>
        </w:tc>
        <w:tc>
          <w:tcPr>
            <w:tcW w:w="1091" w:type="dxa"/>
            <w:tcBorders>
              <w:top w:val="nil"/>
              <w:bottom w:val="nil"/>
            </w:tcBorders>
            <w:shd w:val="clear" w:color="auto" w:fill="auto"/>
            <w:noWrap/>
            <w:vAlign w:val="bottom"/>
            <w:hideMark/>
          </w:tcPr>
          <w:p w14:paraId="121D53B4"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3.85</w:t>
            </w:r>
          </w:p>
        </w:tc>
        <w:tc>
          <w:tcPr>
            <w:tcW w:w="666" w:type="dxa"/>
            <w:tcBorders>
              <w:top w:val="nil"/>
              <w:bottom w:val="nil"/>
            </w:tcBorders>
            <w:shd w:val="clear" w:color="auto" w:fill="auto"/>
            <w:noWrap/>
            <w:vAlign w:val="bottom"/>
            <w:hideMark/>
          </w:tcPr>
          <w:p w14:paraId="0A20CAE1"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100</w:t>
            </w:r>
          </w:p>
        </w:tc>
        <w:tc>
          <w:tcPr>
            <w:tcW w:w="1174" w:type="dxa"/>
            <w:tcBorders>
              <w:top w:val="nil"/>
              <w:bottom w:val="nil"/>
            </w:tcBorders>
            <w:shd w:val="clear" w:color="auto" w:fill="auto"/>
            <w:noWrap/>
            <w:vAlign w:val="bottom"/>
            <w:hideMark/>
          </w:tcPr>
          <w:p w14:paraId="2713CCD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96.15</w:t>
            </w:r>
          </w:p>
        </w:tc>
      </w:tr>
      <w:tr w:rsidR="00C45509" w:rsidRPr="00CE4512" w14:paraId="21C5D952" w14:textId="77777777" w:rsidTr="00CD0E97">
        <w:trPr>
          <w:trHeight w:val="300"/>
          <w:jc w:val="center"/>
        </w:trPr>
        <w:tc>
          <w:tcPr>
            <w:tcW w:w="4224" w:type="dxa"/>
            <w:tcBorders>
              <w:top w:val="nil"/>
              <w:bottom w:val="nil"/>
            </w:tcBorders>
            <w:shd w:val="clear" w:color="auto" w:fill="auto"/>
            <w:noWrap/>
            <w:vAlign w:val="bottom"/>
            <w:hideMark/>
          </w:tcPr>
          <w:p w14:paraId="3DF3BF07" w14:textId="07DB3E08" w:rsidR="00C45509" w:rsidRPr="00CE4512" w:rsidRDefault="009E1104" w:rsidP="00E929D5">
            <w:pPr>
              <w:spacing w:after="0" w:line="240" w:lineRule="auto"/>
              <w:rPr>
                <w:rFonts w:ascii="Times New Roman" w:hAnsi="Times New Roman"/>
                <w:sz w:val="24"/>
                <w:szCs w:val="24"/>
              </w:rPr>
            </w:pPr>
            <w:proofErr w:type="spellStart"/>
            <w:r w:rsidRPr="009E1104">
              <w:rPr>
                <w:rFonts w:ascii="Times New Roman" w:hAnsi="Times New Roman"/>
                <w:sz w:val="24"/>
                <w:szCs w:val="24"/>
              </w:rPr>
              <w:t>Previous</w:t>
            </w:r>
            <w:proofErr w:type="spellEnd"/>
            <w:r w:rsidRPr="009E1104">
              <w:rPr>
                <w:rFonts w:ascii="Times New Roman" w:hAnsi="Times New Roman"/>
                <w:sz w:val="24"/>
                <w:szCs w:val="24"/>
              </w:rPr>
              <w:t xml:space="preserve"> fracture</w:t>
            </w:r>
          </w:p>
        </w:tc>
        <w:tc>
          <w:tcPr>
            <w:tcW w:w="749" w:type="dxa"/>
            <w:tcBorders>
              <w:top w:val="nil"/>
              <w:bottom w:val="nil"/>
            </w:tcBorders>
            <w:shd w:val="clear" w:color="auto" w:fill="auto"/>
            <w:noWrap/>
            <w:vAlign w:val="bottom"/>
            <w:hideMark/>
          </w:tcPr>
          <w:p w14:paraId="4AF4322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20</w:t>
            </w:r>
          </w:p>
        </w:tc>
        <w:tc>
          <w:tcPr>
            <w:tcW w:w="1091" w:type="dxa"/>
            <w:tcBorders>
              <w:top w:val="nil"/>
              <w:bottom w:val="nil"/>
            </w:tcBorders>
            <w:shd w:val="clear" w:color="auto" w:fill="auto"/>
            <w:noWrap/>
            <w:vAlign w:val="bottom"/>
            <w:hideMark/>
          </w:tcPr>
          <w:p w14:paraId="1534EE5E"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19.23</w:t>
            </w:r>
          </w:p>
        </w:tc>
        <w:tc>
          <w:tcPr>
            <w:tcW w:w="666" w:type="dxa"/>
            <w:tcBorders>
              <w:top w:val="nil"/>
              <w:bottom w:val="nil"/>
            </w:tcBorders>
            <w:shd w:val="clear" w:color="auto" w:fill="auto"/>
            <w:noWrap/>
            <w:vAlign w:val="bottom"/>
            <w:hideMark/>
          </w:tcPr>
          <w:p w14:paraId="2AA94AB7"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84</w:t>
            </w:r>
          </w:p>
        </w:tc>
        <w:tc>
          <w:tcPr>
            <w:tcW w:w="1174" w:type="dxa"/>
            <w:tcBorders>
              <w:top w:val="nil"/>
              <w:bottom w:val="nil"/>
            </w:tcBorders>
            <w:shd w:val="clear" w:color="auto" w:fill="auto"/>
            <w:noWrap/>
            <w:vAlign w:val="bottom"/>
            <w:hideMark/>
          </w:tcPr>
          <w:p w14:paraId="3BA41BA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80.77</w:t>
            </w:r>
          </w:p>
        </w:tc>
      </w:tr>
      <w:tr w:rsidR="00C45509" w:rsidRPr="00CE4512" w14:paraId="247FA221" w14:textId="77777777" w:rsidTr="00CD0E97">
        <w:trPr>
          <w:trHeight w:val="300"/>
          <w:jc w:val="center"/>
        </w:trPr>
        <w:tc>
          <w:tcPr>
            <w:tcW w:w="4224" w:type="dxa"/>
            <w:tcBorders>
              <w:top w:val="nil"/>
              <w:bottom w:val="single" w:sz="4" w:space="0" w:color="auto"/>
            </w:tcBorders>
            <w:shd w:val="clear" w:color="auto" w:fill="auto"/>
            <w:noWrap/>
            <w:vAlign w:val="bottom"/>
            <w:hideMark/>
          </w:tcPr>
          <w:p w14:paraId="3E2ED7BC" w14:textId="293B9878" w:rsidR="00C45509" w:rsidRPr="00CE4512" w:rsidRDefault="009E1104" w:rsidP="00E929D5">
            <w:pPr>
              <w:spacing w:after="0" w:line="240" w:lineRule="auto"/>
              <w:rPr>
                <w:rFonts w:ascii="Times New Roman" w:hAnsi="Times New Roman"/>
                <w:sz w:val="24"/>
                <w:szCs w:val="24"/>
              </w:rPr>
            </w:pPr>
            <w:proofErr w:type="spellStart"/>
            <w:r w:rsidRPr="009E1104">
              <w:rPr>
                <w:rFonts w:ascii="Times New Roman" w:hAnsi="Times New Roman"/>
                <w:sz w:val="24"/>
                <w:szCs w:val="24"/>
              </w:rPr>
              <w:t>Parents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hip fracture</w:t>
            </w:r>
          </w:p>
        </w:tc>
        <w:tc>
          <w:tcPr>
            <w:tcW w:w="749" w:type="dxa"/>
            <w:tcBorders>
              <w:top w:val="nil"/>
              <w:bottom w:val="single" w:sz="4" w:space="0" w:color="auto"/>
            </w:tcBorders>
            <w:shd w:val="clear" w:color="auto" w:fill="auto"/>
            <w:noWrap/>
            <w:vAlign w:val="bottom"/>
            <w:hideMark/>
          </w:tcPr>
          <w:p w14:paraId="261722F0"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6</w:t>
            </w:r>
          </w:p>
        </w:tc>
        <w:tc>
          <w:tcPr>
            <w:tcW w:w="1091" w:type="dxa"/>
            <w:tcBorders>
              <w:top w:val="nil"/>
              <w:bottom w:val="single" w:sz="4" w:space="0" w:color="auto"/>
            </w:tcBorders>
            <w:shd w:val="clear" w:color="auto" w:fill="auto"/>
            <w:noWrap/>
            <w:vAlign w:val="bottom"/>
            <w:hideMark/>
          </w:tcPr>
          <w:p w14:paraId="60A40A48"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5.77</w:t>
            </w:r>
          </w:p>
        </w:tc>
        <w:tc>
          <w:tcPr>
            <w:tcW w:w="666" w:type="dxa"/>
            <w:tcBorders>
              <w:top w:val="nil"/>
              <w:bottom w:val="single" w:sz="4" w:space="0" w:color="auto"/>
            </w:tcBorders>
            <w:shd w:val="clear" w:color="auto" w:fill="auto"/>
            <w:noWrap/>
            <w:vAlign w:val="bottom"/>
            <w:hideMark/>
          </w:tcPr>
          <w:p w14:paraId="102B55BC"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98</w:t>
            </w:r>
          </w:p>
        </w:tc>
        <w:tc>
          <w:tcPr>
            <w:tcW w:w="1174" w:type="dxa"/>
            <w:tcBorders>
              <w:top w:val="nil"/>
              <w:bottom w:val="single" w:sz="4" w:space="0" w:color="auto"/>
            </w:tcBorders>
            <w:shd w:val="clear" w:color="auto" w:fill="auto"/>
            <w:noWrap/>
            <w:vAlign w:val="bottom"/>
            <w:hideMark/>
          </w:tcPr>
          <w:p w14:paraId="6984BE26" w14:textId="77777777" w:rsidR="00C45509" w:rsidRPr="00CE4512" w:rsidRDefault="00C45509" w:rsidP="00E929D5">
            <w:pPr>
              <w:spacing w:after="0" w:line="240" w:lineRule="auto"/>
              <w:jc w:val="center"/>
              <w:rPr>
                <w:rFonts w:ascii="Times New Roman" w:hAnsi="Times New Roman"/>
                <w:sz w:val="24"/>
                <w:szCs w:val="24"/>
              </w:rPr>
            </w:pPr>
            <w:r w:rsidRPr="00CE4512">
              <w:rPr>
                <w:rFonts w:ascii="Times New Roman" w:hAnsi="Times New Roman"/>
                <w:sz w:val="24"/>
                <w:szCs w:val="24"/>
              </w:rPr>
              <w:t>94.23</w:t>
            </w:r>
          </w:p>
        </w:tc>
      </w:tr>
    </w:tbl>
    <w:p w14:paraId="4F7B9C29" w14:textId="77777777" w:rsidR="00C45509" w:rsidRPr="00CE4512" w:rsidRDefault="00C45509" w:rsidP="00E929D5">
      <w:pPr>
        <w:spacing w:line="360" w:lineRule="auto"/>
        <w:jc w:val="both"/>
        <w:rPr>
          <w:rFonts w:ascii="Times New Roman" w:hAnsi="Times New Roman"/>
          <w:sz w:val="24"/>
          <w:szCs w:val="24"/>
        </w:rPr>
      </w:pPr>
      <w:r w:rsidRPr="00CE4512">
        <w:rPr>
          <w:rFonts w:ascii="Times New Roman" w:hAnsi="Times New Roman"/>
          <w:sz w:val="24"/>
          <w:szCs w:val="24"/>
        </w:rPr>
        <w:tab/>
      </w:r>
      <w:r w:rsidRPr="00CE4512">
        <w:rPr>
          <w:rFonts w:ascii="Times New Roman" w:hAnsi="Times New Roman"/>
          <w:sz w:val="24"/>
          <w:szCs w:val="24"/>
        </w:rPr>
        <w:tab/>
      </w:r>
    </w:p>
    <w:p w14:paraId="5422B85F" w14:textId="57C675F6" w:rsidR="00C45509" w:rsidRPr="00CE4512" w:rsidRDefault="009E1104" w:rsidP="00C45509">
      <w:pPr>
        <w:spacing w:line="360" w:lineRule="auto"/>
        <w:ind w:firstLine="426"/>
        <w:jc w:val="both"/>
        <w:rPr>
          <w:rFonts w:ascii="Times New Roman" w:hAnsi="Times New Roman"/>
          <w:sz w:val="24"/>
          <w:szCs w:val="24"/>
        </w:rPr>
      </w:pPr>
      <w:proofErr w:type="spellStart"/>
      <w:r w:rsidRPr="009E1104">
        <w:rPr>
          <w:rFonts w:ascii="Times New Roman" w:hAnsi="Times New Roman"/>
          <w:sz w:val="24"/>
          <w:szCs w:val="24"/>
        </w:rPr>
        <w:t>According</w:t>
      </w:r>
      <w:proofErr w:type="spellEnd"/>
      <w:r w:rsidRPr="009E1104">
        <w:rPr>
          <w:rFonts w:ascii="Times New Roman" w:hAnsi="Times New Roman"/>
          <w:sz w:val="24"/>
          <w:szCs w:val="24"/>
        </w:rPr>
        <w:t xml:space="preserve"> to </w:t>
      </w:r>
      <w:proofErr w:type="spellStart"/>
      <w:r w:rsidRPr="009E1104">
        <w:rPr>
          <w:rFonts w:ascii="Times New Roman" w:hAnsi="Times New Roman"/>
          <w:sz w:val="24"/>
          <w:szCs w:val="24"/>
        </w:rPr>
        <w:t>Table</w:t>
      </w:r>
      <w:proofErr w:type="spellEnd"/>
      <w:r w:rsidRPr="009E1104">
        <w:rPr>
          <w:rFonts w:ascii="Times New Roman" w:hAnsi="Times New Roman"/>
          <w:sz w:val="24"/>
          <w:szCs w:val="24"/>
        </w:rPr>
        <w:t xml:space="preserve"> 4, 19.23% of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participants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reported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having</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suffered</w:t>
      </w:r>
      <w:proofErr w:type="spellEnd"/>
      <w:r w:rsidRPr="009E1104">
        <w:rPr>
          <w:rFonts w:ascii="Times New Roman" w:hAnsi="Times New Roman"/>
          <w:sz w:val="24"/>
          <w:szCs w:val="24"/>
        </w:rPr>
        <w:t xml:space="preserve"> fractures, </w:t>
      </w:r>
      <w:proofErr w:type="spellStart"/>
      <w:r w:rsidRPr="009E1104">
        <w:rPr>
          <w:rFonts w:ascii="Times New Roman" w:hAnsi="Times New Roman"/>
          <w:sz w:val="24"/>
          <w:szCs w:val="24"/>
        </w:rPr>
        <w:t>followed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by</w:t>
      </w:r>
      <w:proofErr w:type="spellEnd"/>
      <w:r w:rsidRPr="009E1104">
        <w:rPr>
          <w:rFonts w:ascii="Times New Roman" w:hAnsi="Times New Roman"/>
          <w:sz w:val="24"/>
          <w:szCs w:val="24"/>
        </w:rPr>
        <w:t xml:space="preserve"> 5.77% of </w:t>
      </w:r>
      <w:proofErr w:type="spellStart"/>
      <w:r w:rsidRPr="009E1104">
        <w:rPr>
          <w:rFonts w:ascii="Times New Roman" w:hAnsi="Times New Roman"/>
          <w:sz w:val="24"/>
          <w:szCs w:val="24"/>
        </w:rPr>
        <w:t>those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using</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glucocorticoids</w:t>
      </w:r>
      <w:proofErr w:type="spellEnd"/>
      <w:r w:rsidRPr="009E1104">
        <w:rPr>
          <w:rFonts w:ascii="Times New Roman" w:hAnsi="Times New Roman"/>
          <w:sz w:val="24"/>
          <w:szCs w:val="24"/>
        </w:rPr>
        <w:t xml:space="preserve"> and 5.77% </w:t>
      </w:r>
      <w:proofErr w:type="spellStart"/>
      <w:r w:rsidRPr="009E1104">
        <w:rPr>
          <w:rFonts w:ascii="Times New Roman" w:hAnsi="Times New Roman"/>
          <w:sz w:val="24"/>
          <w:szCs w:val="24"/>
        </w:rPr>
        <w:t>reported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parents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hip fractures</w:t>
      </w:r>
      <w:r w:rsidR="009E0A6E">
        <w:rPr>
          <w:rFonts w:ascii="Times New Roman" w:hAnsi="Times New Roman"/>
          <w:sz w:val="24"/>
          <w:szCs w:val="24"/>
        </w:rPr>
        <w:t>.</w:t>
      </w:r>
    </w:p>
    <w:p w14:paraId="7BE5A1A4" w14:textId="337718F3" w:rsidR="009E1104" w:rsidRPr="009E1104" w:rsidRDefault="00C45509" w:rsidP="00AB63A7">
      <w:pPr>
        <w:pStyle w:val="Prrafodelista"/>
        <w:spacing w:line="480" w:lineRule="auto"/>
        <w:ind w:left="0"/>
        <w:rPr>
          <w:bCs/>
          <w:i/>
          <w:iCs/>
        </w:rPr>
      </w:pPr>
      <w:bookmarkStart w:id="4" w:name="_Toc31132732"/>
      <w:proofErr w:type="spellStart"/>
      <w:r w:rsidRPr="009E1104">
        <w:rPr>
          <w:b/>
          <w:bCs/>
          <w:iCs/>
        </w:rPr>
        <w:t>Tabl</w:t>
      </w:r>
      <w:r w:rsidR="009E1104" w:rsidRPr="009E1104">
        <w:rPr>
          <w:b/>
          <w:bCs/>
          <w:iCs/>
        </w:rPr>
        <w:t>e</w:t>
      </w:r>
      <w:proofErr w:type="spellEnd"/>
      <w:r w:rsidRPr="009E1104">
        <w:rPr>
          <w:b/>
          <w:bCs/>
          <w:iCs/>
        </w:rPr>
        <w:t xml:space="preserve"> </w:t>
      </w:r>
      <w:r w:rsidR="00D22D84" w:rsidRPr="009E1104">
        <w:rPr>
          <w:b/>
          <w:bCs/>
          <w:iCs/>
        </w:rPr>
        <w:t>5</w:t>
      </w:r>
      <w:r w:rsidR="00D22D84" w:rsidRPr="009E1104">
        <w:rPr>
          <w:bCs/>
          <w:i/>
          <w:iCs/>
        </w:rPr>
        <w:t xml:space="preserve"> </w:t>
      </w:r>
    </w:p>
    <w:p w14:paraId="5307E86E" w14:textId="2BB939A8" w:rsidR="00C45509" w:rsidRPr="00CE4512" w:rsidRDefault="009E1104" w:rsidP="00AB63A7">
      <w:pPr>
        <w:pStyle w:val="Prrafodelista"/>
        <w:spacing w:line="480" w:lineRule="auto"/>
        <w:ind w:left="0"/>
        <w:rPr>
          <w:b/>
        </w:rPr>
      </w:pPr>
      <w:proofErr w:type="spellStart"/>
      <w:r w:rsidRPr="009E1104">
        <w:rPr>
          <w:bCs/>
          <w:i/>
          <w:iCs/>
        </w:rPr>
        <w:t>Level</w:t>
      </w:r>
      <w:proofErr w:type="spellEnd"/>
      <w:r w:rsidRPr="009E1104">
        <w:rPr>
          <w:bCs/>
          <w:i/>
          <w:iCs/>
        </w:rPr>
        <w:t xml:space="preserve"> of </w:t>
      </w:r>
      <w:proofErr w:type="spellStart"/>
      <w:r w:rsidRPr="009E1104">
        <w:rPr>
          <w:bCs/>
          <w:i/>
          <w:iCs/>
        </w:rPr>
        <w:t>knowledge</w:t>
      </w:r>
      <w:proofErr w:type="spellEnd"/>
      <w:r w:rsidRPr="009E1104">
        <w:rPr>
          <w:bCs/>
          <w:i/>
          <w:iCs/>
        </w:rPr>
        <w:t xml:space="preserve"> of </w:t>
      </w:r>
      <w:proofErr w:type="spellStart"/>
      <w:r w:rsidRPr="009E1104">
        <w:rPr>
          <w:bCs/>
          <w:i/>
          <w:iCs/>
        </w:rPr>
        <w:t>decalcification</w:t>
      </w:r>
      <w:proofErr w:type="spellEnd"/>
      <w:r w:rsidR="00C45509" w:rsidRPr="009E1104">
        <w:rPr>
          <w:bCs/>
          <w:i/>
          <w:iCs/>
        </w:rPr>
        <w:t>.</w:t>
      </w:r>
      <w:bookmarkEnd w:id="4"/>
    </w:p>
    <w:tbl>
      <w:tblPr>
        <w:tblW w:w="3776" w:type="dxa"/>
        <w:jc w:val="center"/>
        <w:tblBorders>
          <w:top w:val="single" w:sz="4" w:space="0" w:color="auto"/>
        </w:tblBorders>
        <w:tblCellMar>
          <w:left w:w="70" w:type="dxa"/>
          <w:right w:w="70" w:type="dxa"/>
        </w:tblCellMar>
        <w:tblLook w:val="04A0" w:firstRow="1" w:lastRow="0" w:firstColumn="1" w:lastColumn="0" w:noHBand="0" w:noVBand="1"/>
      </w:tblPr>
      <w:tblGrid>
        <w:gridCol w:w="2216"/>
        <w:gridCol w:w="760"/>
        <w:gridCol w:w="800"/>
      </w:tblGrid>
      <w:tr w:rsidR="00C45509" w:rsidRPr="00CE4512" w14:paraId="775765D6" w14:textId="77777777" w:rsidTr="00DB0333">
        <w:trPr>
          <w:trHeight w:val="600"/>
          <w:jc w:val="center"/>
        </w:trPr>
        <w:tc>
          <w:tcPr>
            <w:tcW w:w="2216" w:type="dxa"/>
            <w:tcBorders>
              <w:bottom w:val="single" w:sz="4" w:space="0" w:color="auto"/>
            </w:tcBorders>
            <w:shd w:val="clear" w:color="auto" w:fill="auto"/>
            <w:vAlign w:val="bottom"/>
            <w:hideMark/>
          </w:tcPr>
          <w:p w14:paraId="716CAE95" w14:textId="32363417" w:rsidR="00C45509" w:rsidRPr="00CE4512" w:rsidRDefault="009E1104" w:rsidP="00DB0333">
            <w:pPr>
              <w:spacing w:after="0" w:line="240" w:lineRule="auto"/>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760" w:type="dxa"/>
            <w:tcBorders>
              <w:bottom w:val="single" w:sz="4" w:space="0" w:color="auto"/>
            </w:tcBorders>
            <w:shd w:val="clear" w:color="auto" w:fill="auto"/>
            <w:noWrap/>
            <w:vAlign w:val="center"/>
            <w:hideMark/>
          </w:tcPr>
          <w:p w14:paraId="7172762C" w14:textId="77777777" w:rsidR="00C45509" w:rsidRPr="00CE4512" w:rsidRDefault="00C45509" w:rsidP="00DB0333">
            <w:pPr>
              <w:spacing w:after="0" w:line="240" w:lineRule="auto"/>
              <w:rPr>
                <w:rFonts w:ascii="Times New Roman" w:hAnsi="Times New Roman"/>
                <w:b/>
                <w:bCs/>
                <w:sz w:val="24"/>
                <w:szCs w:val="24"/>
              </w:rPr>
            </w:pPr>
            <w:r w:rsidRPr="00CE4512">
              <w:rPr>
                <w:rFonts w:ascii="Times New Roman" w:hAnsi="Times New Roman"/>
                <w:b/>
                <w:bCs/>
                <w:sz w:val="24"/>
                <w:szCs w:val="24"/>
              </w:rPr>
              <w:t>N°</w:t>
            </w:r>
          </w:p>
        </w:tc>
        <w:tc>
          <w:tcPr>
            <w:tcW w:w="800" w:type="dxa"/>
            <w:tcBorders>
              <w:bottom w:val="single" w:sz="4" w:space="0" w:color="auto"/>
            </w:tcBorders>
            <w:shd w:val="clear" w:color="auto" w:fill="auto"/>
            <w:noWrap/>
            <w:vAlign w:val="center"/>
            <w:hideMark/>
          </w:tcPr>
          <w:p w14:paraId="4F2C737D" w14:textId="77777777" w:rsidR="00C45509" w:rsidRPr="00CE4512" w:rsidRDefault="00C45509" w:rsidP="00DB0333">
            <w:pPr>
              <w:spacing w:after="0" w:line="240" w:lineRule="auto"/>
              <w:rPr>
                <w:rFonts w:ascii="Times New Roman" w:hAnsi="Times New Roman"/>
                <w:b/>
                <w:bCs/>
                <w:sz w:val="24"/>
                <w:szCs w:val="24"/>
              </w:rPr>
            </w:pPr>
            <w:r w:rsidRPr="00CE4512">
              <w:rPr>
                <w:rFonts w:ascii="Times New Roman" w:hAnsi="Times New Roman"/>
                <w:b/>
                <w:bCs/>
                <w:sz w:val="24"/>
                <w:szCs w:val="24"/>
              </w:rPr>
              <w:t>%</w:t>
            </w:r>
          </w:p>
        </w:tc>
      </w:tr>
      <w:tr w:rsidR="009E1104" w:rsidRPr="00CE4512" w14:paraId="09BFC1D6" w14:textId="77777777" w:rsidTr="00A96058">
        <w:trPr>
          <w:trHeight w:val="315"/>
          <w:jc w:val="center"/>
        </w:trPr>
        <w:tc>
          <w:tcPr>
            <w:tcW w:w="2216" w:type="dxa"/>
            <w:tcBorders>
              <w:top w:val="single" w:sz="4" w:space="0" w:color="auto"/>
            </w:tcBorders>
            <w:shd w:val="clear" w:color="auto" w:fill="auto"/>
            <w:noWrap/>
            <w:hideMark/>
          </w:tcPr>
          <w:p w14:paraId="6EEAC45E" w14:textId="25934DCF" w:rsidR="009E1104" w:rsidRPr="009E1104" w:rsidRDefault="009E1104" w:rsidP="009E1104">
            <w:pPr>
              <w:spacing w:after="0" w:line="240" w:lineRule="auto"/>
              <w:rPr>
                <w:rFonts w:ascii="Times New Roman" w:hAnsi="Times New Roman"/>
                <w:sz w:val="24"/>
                <w:szCs w:val="24"/>
              </w:rPr>
            </w:pPr>
            <w:r w:rsidRPr="009E1104">
              <w:rPr>
                <w:rFonts w:ascii="Times New Roman" w:hAnsi="Times New Roman"/>
                <w:sz w:val="24"/>
                <w:szCs w:val="24"/>
              </w:rPr>
              <w:t>Poor (0-6)</w:t>
            </w:r>
          </w:p>
        </w:tc>
        <w:tc>
          <w:tcPr>
            <w:tcW w:w="760" w:type="dxa"/>
            <w:tcBorders>
              <w:top w:val="single" w:sz="4" w:space="0" w:color="auto"/>
            </w:tcBorders>
            <w:shd w:val="clear" w:color="auto" w:fill="auto"/>
            <w:noWrap/>
            <w:vAlign w:val="bottom"/>
            <w:hideMark/>
          </w:tcPr>
          <w:p w14:paraId="3F7C2D47"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38</w:t>
            </w:r>
          </w:p>
        </w:tc>
        <w:tc>
          <w:tcPr>
            <w:tcW w:w="800" w:type="dxa"/>
            <w:tcBorders>
              <w:top w:val="single" w:sz="4" w:space="0" w:color="auto"/>
            </w:tcBorders>
            <w:shd w:val="clear" w:color="auto" w:fill="auto"/>
            <w:noWrap/>
            <w:vAlign w:val="bottom"/>
            <w:hideMark/>
          </w:tcPr>
          <w:p w14:paraId="19E1E2A0"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36.54</w:t>
            </w:r>
          </w:p>
        </w:tc>
      </w:tr>
      <w:tr w:rsidR="009E1104" w:rsidRPr="00CE4512" w14:paraId="71147202" w14:textId="77777777" w:rsidTr="00A96058">
        <w:trPr>
          <w:trHeight w:val="315"/>
          <w:jc w:val="center"/>
        </w:trPr>
        <w:tc>
          <w:tcPr>
            <w:tcW w:w="2216" w:type="dxa"/>
            <w:tcBorders>
              <w:top w:val="nil"/>
            </w:tcBorders>
            <w:shd w:val="clear" w:color="auto" w:fill="auto"/>
            <w:noWrap/>
            <w:hideMark/>
          </w:tcPr>
          <w:p w14:paraId="1C7BDA94" w14:textId="2F345958" w:rsidR="009E1104" w:rsidRPr="009E1104" w:rsidRDefault="009E1104" w:rsidP="009E1104">
            <w:pPr>
              <w:spacing w:after="0" w:line="240" w:lineRule="auto"/>
              <w:rPr>
                <w:rFonts w:ascii="Times New Roman" w:hAnsi="Times New Roman"/>
                <w:sz w:val="24"/>
                <w:szCs w:val="24"/>
              </w:rPr>
            </w:pPr>
            <w:r w:rsidRPr="009E1104">
              <w:rPr>
                <w:rFonts w:ascii="Times New Roman" w:hAnsi="Times New Roman"/>
                <w:sz w:val="24"/>
                <w:szCs w:val="24"/>
              </w:rPr>
              <w:t>Medium (7-13)</w:t>
            </w:r>
          </w:p>
        </w:tc>
        <w:tc>
          <w:tcPr>
            <w:tcW w:w="760" w:type="dxa"/>
            <w:tcBorders>
              <w:top w:val="nil"/>
            </w:tcBorders>
            <w:shd w:val="clear" w:color="auto" w:fill="auto"/>
            <w:noWrap/>
            <w:vAlign w:val="bottom"/>
            <w:hideMark/>
          </w:tcPr>
          <w:p w14:paraId="567D1D35"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62</w:t>
            </w:r>
          </w:p>
        </w:tc>
        <w:tc>
          <w:tcPr>
            <w:tcW w:w="800" w:type="dxa"/>
            <w:tcBorders>
              <w:top w:val="nil"/>
            </w:tcBorders>
            <w:shd w:val="clear" w:color="auto" w:fill="auto"/>
            <w:noWrap/>
            <w:vAlign w:val="bottom"/>
            <w:hideMark/>
          </w:tcPr>
          <w:p w14:paraId="18D651FF"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59.62</w:t>
            </w:r>
          </w:p>
        </w:tc>
      </w:tr>
      <w:tr w:rsidR="009E1104" w:rsidRPr="00CE4512" w14:paraId="04F087BD" w14:textId="77777777" w:rsidTr="00A96058">
        <w:trPr>
          <w:trHeight w:val="315"/>
          <w:jc w:val="center"/>
        </w:trPr>
        <w:tc>
          <w:tcPr>
            <w:tcW w:w="2216" w:type="dxa"/>
            <w:tcBorders>
              <w:top w:val="nil"/>
            </w:tcBorders>
            <w:shd w:val="clear" w:color="auto" w:fill="auto"/>
            <w:noWrap/>
            <w:hideMark/>
          </w:tcPr>
          <w:p w14:paraId="3866B6C8" w14:textId="69CC6AA6" w:rsidR="009E1104" w:rsidRPr="009E1104" w:rsidRDefault="009E1104" w:rsidP="009E1104">
            <w:pPr>
              <w:spacing w:after="0" w:line="240" w:lineRule="auto"/>
              <w:ind w:left="-921" w:firstLine="921"/>
              <w:rPr>
                <w:rFonts w:ascii="Times New Roman" w:hAnsi="Times New Roman"/>
                <w:sz w:val="24"/>
                <w:szCs w:val="24"/>
              </w:rPr>
            </w:pPr>
            <w:r w:rsidRPr="009E1104">
              <w:rPr>
                <w:rFonts w:ascii="Times New Roman" w:hAnsi="Times New Roman"/>
                <w:sz w:val="24"/>
                <w:szCs w:val="24"/>
              </w:rPr>
              <w:t>High (14-20)</w:t>
            </w:r>
          </w:p>
        </w:tc>
        <w:tc>
          <w:tcPr>
            <w:tcW w:w="760" w:type="dxa"/>
            <w:tcBorders>
              <w:top w:val="nil"/>
            </w:tcBorders>
            <w:shd w:val="clear" w:color="auto" w:fill="auto"/>
            <w:noWrap/>
            <w:vAlign w:val="bottom"/>
            <w:hideMark/>
          </w:tcPr>
          <w:p w14:paraId="577EDA77"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4</w:t>
            </w:r>
          </w:p>
        </w:tc>
        <w:tc>
          <w:tcPr>
            <w:tcW w:w="800" w:type="dxa"/>
            <w:tcBorders>
              <w:top w:val="nil"/>
            </w:tcBorders>
            <w:shd w:val="clear" w:color="auto" w:fill="auto"/>
            <w:noWrap/>
            <w:vAlign w:val="bottom"/>
            <w:hideMark/>
          </w:tcPr>
          <w:p w14:paraId="388FEFD5" w14:textId="77777777" w:rsidR="009E1104" w:rsidRPr="00CE4512" w:rsidRDefault="009E1104" w:rsidP="009E1104">
            <w:pPr>
              <w:spacing w:after="0" w:line="240" w:lineRule="auto"/>
              <w:rPr>
                <w:rFonts w:ascii="Times New Roman" w:hAnsi="Times New Roman"/>
                <w:sz w:val="24"/>
                <w:szCs w:val="24"/>
              </w:rPr>
            </w:pPr>
            <w:r w:rsidRPr="00CE4512">
              <w:rPr>
                <w:rFonts w:ascii="Times New Roman" w:hAnsi="Times New Roman"/>
                <w:sz w:val="24"/>
                <w:szCs w:val="24"/>
              </w:rPr>
              <w:t>3.85</w:t>
            </w:r>
          </w:p>
        </w:tc>
      </w:tr>
      <w:tr w:rsidR="00C45509" w:rsidRPr="00CE4512" w14:paraId="26C6073D" w14:textId="77777777" w:rsidTr="00DB0333">
        <w:trPr>
          <w:trHeight w:val="315"/>
          <w:jc w:val="center"/>
        </w:trPr>
        <w:tc>
          <w:tcPr>
            <w:tcW w:w="2216" w:type="dxa"/>
            <w:tcBorders>
              <w:top w:val="nil"/>
              <w:bottom w:val="single" w:sz="4" w:space="0" w:color="auto"/>
            </w:tcBorders>
            <w:shd w:val="clear" w:color="auto" w:fill="auto"/>
            <w:noWrap/>
            <w:vAlign w:val="bottom"/>
            <w:hideMark/>
          </w:tcPr>
          <w:p w14:paraId="1A940A78"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TOTAL</w:t>
            </w:r>
          </w:p>
        </w:tc>
        <w:tc>
          <w:tcPr>
            <w:tcW w:w="760" w:type="dxa"/>
            <w:tcBorders>
              <w:top w:val="nil"/>
              <w:bottom w:val="single" w:sz="4" w:space="0" w:color="auto"/>
            </w:tcBorders>
            <w:shd w:val="clear" w:color="auto" w:fill="auto"/>
            <w:noWrap/>
            <w:vAlign w:val="bottom"/>
            <w:hideMark/>
          </w:tcPr>
          <w:p w14:paraId="3C6268E6"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104</w:t>
            </w:r>
          </w:p>
        </w:tc>
        <w:tc>
          <w:tcPr>
            <w:tcW w:w="800" w:type="dxa"/>
            <w:tcBorders>
              <w:top w:val="nil"/>
              <w:bottom w:val="single" w:sz="4" w:space="0" w:color="auto"/>
            </w:tcBorders>
            <w:shd w:val="clear" w:color="auto" w:fill="auto"/>
            <w:noWrap/>
            <w:vAlign w:val="bottom"/>
            <w:hideMark/>
          </w:tcPr>
          <w:p w14:paraId="265F0816" w14:textId="77777777" w:rsidR="00C45509" w:rsidRPr="00CE4512" w:rsidRDefault="00C45509" w:rsidP="00DB0333">
            <w:pPr>
              <w:spacing w:after="0" w:line="240" w:lineRule="auto"/>
              <w:rPr>
                <w:rFonts w:ascii="Times New Roman" w:hAnsi="Times New Roman"/>
                <w:sz w:val="24"/>
                <w:szCs w:val="24"/>
              </w:rPr>
            </w:pPr>
            <w:r w:rsidRPr="00CE4512">
              <w:rPr>
                <w:rFonts w:ascii="Times New Roman" w:hAnsi="Times New Roman"/>
                <w:sz w:val="24"/>
                <w:szCs w:val="24"/>
              </w:rPr>
              <w:t>100.00</w:t>
            </w:r>
          </w:p>
        </w:tc>
      </w:tr>
    </w:tbl>
    <w:p w14:paraId="1610816F" w14:textId="77777777" w:rsidR="00C45509" w:rsidRPr="00CE4512" w:rsidRDefault="00C45509" w:rsidP="00C45509">
      <w:pPr>
        <w:spacing w:line="360" w:lineRule="auto"/>
        <w:ind w:firstLine="708"/>
        <w:jc w:val="both"/>
        <w:rPr>
          <w:rFonts w:ascii="Times New Roman" w:hAnsi="Times New Roman"/>
          <w:sz w:val="24"/>
          <w:szCs w:val="24"/>
        </w:rPr>
      </w:pPr>
    </w:p>
    <w:p w14:paraId="027B7E5B" w14:textId="77777777" w:rsidR="009E1104" w:rsidRDefault="009E1104" w:rsidP="009E1104">
      <w:pPr>
        <w:spacing w:line="360" w:lineRule="auto"/>
        <w:ind w:firstLine="360"/>
        <w:jc w:val="both"/>
        <w:rPr>
          <w:rFonts w:ascii="Times New Roman" w:hAnsi="Times New Roman"/>
          <w:sz w:val="24"/>
          <w:szCs w:val="24"/>
        </w:rPr>
      </w:pPr>
      <w:r w:rsidRPr="009E1104">
        <w:rPr>
          <w:rFonts w:ascii="Times New Roman" w:hAnsi="Times New Roman"/>
          <w:sz w:val="24"/>
          <w:szCs w:val="24"/>
        </w:rPr>
        <w:t xml:space="preserve">In </w:t>
      </w:r>
      <w:proofErr w:type="spellStart"/>
      <w:r w:rsidRPr="009E1104">
        <w:rPr>
          <w:rFonts w:ascii="Times New Roman" w:hAnsi="Times New Roman"/>
          <w:sz w:val="24"/>
          <w:szCs w:val="24"/>
        </w:rPr>
        <w:t>this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regard</w:t>
      </w:r>
      <w:proofErr w:type="spellEnd"/>
      <w:r w:rsidRPr="009E1104">
        <w:rPr>
          <w:rFonts w:ascii="Times New Roman" w:hAnsi="Times New Roman"/>
          <w:sz w:val="24"/>
          <w:szCs w:val="24"/>
        </w:rPr>
        <w:t xml:space="preserve">, 59.62% of </w:t>
      </w:r>
      <w:proofErr w:type="spellStart"/>
      <w:r w:rsidRPr="009E1104">
        <w:rPr>
          <w:rFonts w:ascii="Times New Roman" w:hAnsi="Times New Roman"/>
          <w:sz w:val="24"/>
          <w:szCs w:val="24"/>
        </w:rPr>
        <w:t>those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interviewed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had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medium</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and </w:t>
      </w:r>
      <w:proofErr w:type="spellStart"/>
      <w:r w:rsidRPr="009E1104">
        <w:rPr>
          <w:rFonts w:ascii="Times New Roman" w:hAnsi="Times New Roman"/>
          <w:sz w:val="24"/>
          <w:szCs w:val="24"/>
        </w:rPr>
        <w:t>only</w:t>
      </w:r>
      <w:proofErr w:type="spellEnd"/>
      <w:r w:rsidRPr="009E1104">
        <w:rPr>
          <w:rFonts w:ascii="Times New Roman" w:hAnsi="Times New Roman"/>
          <w:sz w:val="24"/>
          <w:szCs w:val="24"/>
        </w:rPr>
        <w:t xml:space="preserve"> 3.85% </w:t>
      </w:r>
      <w:proofErr w:type="spellStart"/>
      <w:r w:rsidRPr="009E1104">
        <w:rPr>
          <w:rFonts w:ascii="Times New Roman" w:hAnsi="Times New Roman"/>
          <w:sz w:val="24"/>
          <w:szCs w:val="24"/>
        </w:rPr>
        <w:t>indicated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that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they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had</w:t>
      </w:r>
      <w:proofErr w:type="spellEnd"/>
      <w:r w:rsidRPr="009E1104">
        <w:rPr>
          <w:rFonts w:ascii="Times New Roman" w:hAnsi="Times New Roman"/>
          <w:sz w:val="24"/>
          <w:szCs w:val="24"/>
        </w:rPr>
        <w:t xml:space="preserve"> a </w:t>
      </w:r>
      <w:proofErr w:type="spellStart"/>
      <w:r w:rsidRPr="009E1104">
        <w:rPr>
          <w:rFonts w:ascii="Times New Roman" w:hAnsi="Times New Roman"/>
          <w:sz w:val="24"/>
          <w:szCs w:val="24"/>
        </w:rPr>
        <w:t>high</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level</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about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bone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Table</w:t>
      </w:r>
      <w:proofErr w:type="spellEnd"/>
      <w:r w:rsidRPr="009E1104">
        <w:rPr>
          <w:rFonts w:ascii="Times New Roman" w:hAnsi="Times New Roman"/>
          <w:sz w:val="24"/>
          <w:szCs w:val="24"/>
        </w:rPr>
        <w:t xml:space="preserve"> 5).</w:t>
      </w:r>
    </w:p>
    <w:p w14:paraId="132D56EB" w14:textId="0999F6BF" w:rsidR="00C45509" w:rsidRPr="00EF7AFE" w:rsidRDefault="009E1104" w:rsidP="009E1104">
      <w:pPr>
        <w:spacing w:line="360" w:lineRule="auto"/>
        <w:ind w:firstLine="360"/>
        <w:jc w:val="both"/>
        <w:rPr>
          <w:rFonts w:ascii="Times New Roman" w:hAnsi="Times New Roman"/>
          <w:sz w:val="24"/>
          <w:szCs w:val="24"/>
        </w:rPr>
      </w:pPr>
      <w:proofErr w:type="spellStart"/>
      <w:r w:rsidRPr="009E1104">
        <w:rPr>
          <w:rFonts w:ascii="Times New Roman" w:hAnsi="Times New Roman"/>
          <w:sz w:val="24"/>
          <w:szCs w:val="24"/>
        </w:rPr>
        <w:t>Results</w:t>
      </w:r>
      <w:proofErr w:type="spellEnd"/>
      <w:r w:rsidRPr="009E1104">
        <w:rPr>
          <w:rFonts w:ascii="Times New Roman" w:hAnsi="Times New Roman"/>
          <w:sz w:val="24"/>
          <w:szCs w:val="24"/>
        </w:rPr>
        <w:t xml:space="preserve"> similar to </w:t>
      </w:r>
      <w:proofErr w:type="spellStart"/>
      <w:r w:rsidRPr="009E1104">
        <w:rPr>
          <w:rFonts w:ascii="Times New Roman" w:hAnsi="Times New Roman"/>
          <w:sz w:val="24"/>
          <w:szCs w:val="24"/>
        </w:rPr>
        <w:t>other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studies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average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00C45509" w:rsidRPr="00EF7AFE">
        <w:rPr>
          <w:rFonts w:ascii="Times New Roman" w:hAnsi="Times New Roman"/>
          <w:sz w:val="24"/>
          <w:szCs w:val="24"/>
        </w:rPr>
        <w:fldChar w:fldCharType="begin"/>
      </w:r>
      <w:r w:rsidR="00C45509" w:rsidRPr="00EF7AFE">
        <w:rPr>
          <w:rFonts w:ascii="Times New Roman" w:hAnsi="Times New Roman"/>
          <w:sz w:val="24"/>
          <w:szCs w:val="24"/>
        </w:rPr>
        <w:instrText xml:space="preserve"> ADDIN EN.CITE &lt;EndNote&gt;&lt;Cite&gt;&lt;Author&gt;Mendoza Palacin&lt;/Author&gt;&lt;Year&gt;2017&lt;/Year&gt;&lt;RecNum&gt;34&lt;/RecNum&gt;&lt;DisplayText&gt;&lt;style face="superscript" font="Times New Roman"&gt;(36)&lt;/style&gt;&lt;/DisplayText&gt;&lt;record&gt;&lt;rec-number&gt;34&lt;/rec-number&gt;&lt;foreign-keys&gt;&lt;key app="EN" db-id="tdaef2xzyrd9t3e5xvops22tpspddvfxa0sv" timestamp="1578890876"&gt;34&lt;/key&gt;&lt;/foreign-keys&gt;&lt;ref-type name="Journal Article"&gt;17&lt;/ref-type&gt;&lt;contributors&gt;&lt;authors&gt;&lt;author&gt;Mendoza Palacin, Reges Francklin&lt;/author&gt;&lt;/authors&gt;&lt;/contributors&gt;&lt;titles&gt;&lt;title&gt;Conocimiento de Factores de Riesgo de Osteoporosis del Personal Administrativo Red Salud Mantaro-2016&lt;/title&gt;&lt;/titles&gt;&lt;dates&gt;&lt;year&gt;2017&lt;/year&gt;&lt;/dates&gt;&lt;urls&gt;&lt;/urls&gt;&lt;/record&gt;&lt;/Cite&gt;&lt;/EndNote&gt;</w:instrText>
      </w:r>
      <w:r w:rsidR="00C45509" w:rsidRPr="00EF7AFE">
        <w:rPr>
          <w:rFonts w:ascii="Times New Roman" w:hAnsi="Times New Roman"/>
          <w:sz w:val="24"/>
          <w:szCs w:val="24"/>
        </w:rPr>
        <w:fldChar w:fldCharType="separate"/>
      </w:r>
      <w:r w:rsidR="00C45509" w:rsidRPr="00EF7AFE">
        <w:rPr>
          <w:rFonts w:ascii="Times New Roman" w:hAnsi="Times New Roman"/>
          <w:noProof/>
          <w:sz w:val="24"/>
          <w:szCs w:val="24"/>
          <w:vertAlign w:val="superscript"/>
        </w:rPr>
        <w:t>(36)</w:t>
      </w:r>
      <w:r w:rsidR="00C45509" w:rsidRPr="00EF7AFE">
        <w:rPr>
          <w:rFonts w:ascii="Times New Roman" w:hAnsi="Times New Roman"/>
          <w:sz w:val="24"/>
          <w:szCs w:val="24"/>
        </w:rPr>
        <w:fldChar w:fldCharType="end"/>
      </w:r>
      <w:r w:rsidR="00C45509" w:rsidRPr="00EF7AFE">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same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trend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observed</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studies</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country</w:t>
      </w:r>
      <w:r w:rsidR="00C45509" w:rsidRPr="00EF7AFE">
        <w:rPr>
          <w:rFonts w:ascii="Times New Roman" w:hAnsi="Times New Roman"/>
          <w:sz w:val="24"/>
          <w:szCs w:val="24"/>
        </w:rPr>
        <w:fldChar w:fldCharType="begin"/>
      </w:r>
      <w:r w:rsidR="00C45509" w:rsidRPr="00EF7AFE">
        <w:rPr>
          <w:rFonts w:ascii="Times New Roman" w:hAnsi="Times New Roman"/>
          <w:sz w:val="24"/>
          <w:szCs w:val="24"/>
        </w:rPr>
        <w:instrText xml:space="preserve"> ADDIN EN.CITE &lt;EndNote&gt;&lt;Cite&gt;&lt;Author&gt;Flores-Villoslada&lt;/Author&gt;&lt;Year&gt;2016&lt;/Year&gt;&lt;RecNum&gt;36&lt;/RecNum&gt;&lt;DisplayText&gt;&lt;style face="superscript" font="Times New Roman"&gt;(37)&lt;/style&gt;&lt;/DisplayText&gt;&lt;record&gt;&lt;rec-number&gt;36&lt;/rec-number&gt;&lt;foreign-keys&gt;&lt;key app="EN" db-id="tdaef2xzyrd9t3e5xvops22tpspddvfxa0sv" timestamp="1578891995"&gt;36&lt;/key&gt;&lt;/foreign-keys&gt;&lt;ref-type name="Journal Article"&gt;17&lt;/ref-type&gt;&lt;contributors&gt;&lt;authors&gt;&lt;author&gt;Flores-Villoslada, Katerine&lt;/author&gt;&lt;author&gt;Garcia-Vasquez, Leonardo&lt;/author&gt;&lt;author&gt;Gordillo-Castro, Johan&lt;/author&gt;&lt;author&gt;Segura-Muñoz, Dina&lt;/author&gt;&lt;author&gt;Pretell-Nazario, Carlos&lt;/author&gt;&lt;/authors&gt;&lt;/contributors&gt;&lt;titles&gt;&lt;title&gt;Grado de conocimiento acerca de la prevención de osteoporosis en cesantes y jubilados del sector educación de Lambayeque-junio del 2015&lt;/title&gt;&lt;secondary-title&gt;Revista del Cuerpo Médico del HNAAA&lt;/secondary-title&gt;&lt;/titles&gt;&lt;periodical&gt;&lt;full-title&gt;Revista del Cuerpo Médico del HNAAA&lt;/full-title&gt;&lt;/periodical&gt;&lt;pages&gt;152-156&lt;/pages&gt;&lt;volume&gt;9&lt;/volume&gt;&lt;number&gt;3&lt;/number&gt;&lt;dates&gt;&lt;year&gt;2016&lt;/year&gt;&lt;/dates&gt;&lt;isbn&gt;2227-4731&lt;/isbn&gt;&lt;urls&gt;&lt;/urls&gt;&lt;/record&gt;&lt;/Cite&gt;&lt;/EndNote&gt;</w:instrText>
      </w:r>
      <w:r w:rsidR="00C45509" w:rsidRPr="00EF7AFE">
        <w:rPr>
          <w:rFonts w:ascii="Times New Roman" w:hAnsi="Times New Roman"/>
          <w:sz w:val="24"/>
          <w:szCs w:val="24"/>
        </w:rPr>
        <w:fldChar w:fldCharType="separate"/>
      </w:r>
      <w:r w:rsidR="00C45509" w:rsidRPr="00EF7AFE">
        <w:rPr>
          <w:rFonts w:ascii="Times New Roman" w:hAnsi="Times New Roman"/>
          <w:noProof/>
          <w:sz w:val="24"/>
          <w:szCs w:val="24"/>
          <w:vertAlign w:val="superscript"/>
        </w:rPr>
        <w:t>(37)</w:t>
      </w:r>
      <w:r w:rsidR="00C45509" w:rsidRPr="00EF7AFE">
        <w:rPr>
          <w:rFonts w:ascii="Times New Roman" w:hAnsi="Times New Roman"/>
          <w:sz w:val="24"/>
          <w:szCs w:val="24"/>
        </w:rPr>
        <w:fldChar w:fldCharType="end"/>
      </w:r>
      <w:r w:rsidR="00C45509" w:rsidRPr="00EF7AFE">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same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explained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place of </w:t>
      </w:r>
      <w:proofErr w:type="spellStart"/>
      <w:r w:rsidRPr="009E1104">
        <w:rPr>
          <w:rFonts w:ascii="Times New Roman" w:hAnsi="Times New Roman"/>
          <w:sz w:val="24"/>
          <w:szCs w:val="24"/>
        </w:rPr>
        <w:t>origin</w:t>
      </w:r>
      <w:proofErr w:type="spellEnd"/>
      <w:r>
        <w:rPr>
          <w:rFonts w:ascii="Times New Roman" w:hAnsi="Times New Roman"/>
          <w:sz w:val="24"/>
          <w:szCs w:val="24"/>
        </w:rPr>
        <w:t>.</w:t>
      </w:r>
      <w:r w:rsidR="00C45509" w:rsidRPr="00EF7AFE">
        <w:rPr>
          <w:rFonts w:ascii="Times New Roman" w:hAnsi="Times New Roman"/>
          <w:sz w:val="24"/>
          <w:szCs w:val="24"/>
        </w:rPr>
        <w:fldChar w:fldCharType="begin"/>
      </w:r>
      <w:r w:rsidR="00C45509" w:rsidRPr="00EF7AFE">
        <w:rPr>
          <w:rFonts w:ascii="Times New Roman" w:hAnsi="Times New Roman"/>
          <w:sz w:val="24"/>
          <w:szCs w:val="24"/>
        </w:rPr>
        <w:instrText xml:space="preserve"> ADDIN EN.CITE &lt;EndNote&gt;&lt;Cite&gt;&lt;Author&gt;Ylachoque&lt;/Author&gt;&lt;Year&gt;2017&lt;/Year&gt;&lt;RecNum&gt;35&lt;/RecNum&gt;&lt;DisplayText&gt;&lt;style face="superscript" font="Times New Roman"&gt;(38)&lt;/style&gt;&lt;/DisplayText&gt;&lt;record&gt;&lt;rec-number&gt;35&lt;/rec-number&gt;&lt;foreign-keys&gt;&lt;key app="EN" db-id="tdaef2xzyrd9t3e5xvops22tpspddvfxa0sv" timestamp="1578891758"&gt;35&lt;/key&gt;&lt;/foreign-keys&gt;&lt;ref-type name="Journal Article"&gt;17&lt;/ref-type&gt;&lt;contributors&gt;&lt;authors&gt;&lt;author&gt;Ylachoque, Supo&lt;/author&gt;&lt;author&gt;Soraida, Yeny&lt;/author&gt;&lt;author&gt;Pisco Quispe, Blanca Paola&lt;/author&gt;&lt;/authors&gt;&lt;/contributors&gt;&lt;titles&gt;&lt;title&gt;Estudio comparativo de conocimiento de osteoporosis con las prácticas de autocuidado en mujeres que acuden a tres centros de salud (Costa, Sierra y Selva) de la zona sur del Perú, 2017&lt;/title&gt;&lt;/titles&gt;&lt;dates&gt;&lt;year&gt;2017&lt;/year&gt;&lt;/dates&gt;&lt;urls&gt;&lt;/urls&gt;&lt;/record&gt;&lt;/Cite&gt;&lt;/EndNote&gt;</w:instrText>
      </w:r>
      <w:r w:rsidR="00C45509" w:rsidRPr="00EF7AFE">
        <w:rPr>
          <w:rFonts w:ascii="Times New Roman" w:hAnsi="Times New Roman"/>
          <w:sz w:val="24"/>
          <w:szCs w:val="24"/>
        </w:rPr>
        <w:fldChar w:fldCharType="separate"/>
      </w:r>
      <w:r w:rsidR="00C45509" w:rsidRPr="00EF7AFE">
        <w:rPr>
          <w:rFonts w:ascii="Times New Roman" w:hAnsi="Times New Roman"/>
          <w:noProof/>
          <w:sz w:val="24"/>
          <w:szCs w:val="24"/>
          <w:vertAlign w:val="superscript"/>
        </w:rPr>
        <w:t>(38)</w:t>
      </w:r>
      <w:r w:rsidR="00C45509" w:rsidRPr="00EF7AFE">
        <w:rPr>
          <w:rFonts w:ascii="Times New Roman" w:hAnsi="Times New Roman"/>
          <w:sz w:val="24"/>
          <w:szCs w:val="24"/>
        </w:rPr>
        <w:fldChar w:fldCharType="end"/>
      </w:r>
    </w:p>
    <w:p w14:paraId="7A9FB59D" w14:textId="0191691D" w:rsidR="009E1104" w:rsidRPr="009E1104" w:rsidRDefault="00C45509" w:rsidP="009E1104">
      <w:pPr>
        <w:pStyle w:val="Prrafodelista"/>
        <w:spacing w:line="480" w:lineRule="auto"/>
        <w:ind w:left="0"/>
        <w:rPr>
          <w:b/>
          <w:bCs/>
          <w:iCs/>
        </w:rPr>
      </w:pPr>
      <w:bookmarkStart w:id="5" w:name="_Toc31132733"/>
      <w:proofErr w:type="spellStart"/>
      <w:r w:rsidRPr="009E1104">
        <w:rPr>
          <w:b/>
          <w:bCs/>
          <w:iCs/>
        </w:rPr>
        <w:t>Tabl</w:t>
      </w:r>
      <w:r w:rsidR="009E1104" w:rsidRPr="009E1104">
        <w:rPr>
          <w:b/>
          <w:bCs/>
          <w:iCs/>
        </w:rPr>
        <w:t>e</w:t>
      </w:r>
      <w:proofErr w:type="spellEnd"/>
      <w:r w:rsidRPr="009E1104">
        <w:rPr>
          <w:b/>
          <w:bCs/>
          <w:iCs/>
        </w:rPr>
        <w:t xml:space="preserve"> </w:t>
      </w:r>
      <w:bookmarkEnd w:id="5"/>
      <w:r w:rsidR="00AB63A7">
        <w:rPr>
          <w:b/>
          <w:bCs/>
          <w:iCs/>
        </w:rPr>
        <w:t>6</w:t>
      </w:r>
    </w:p>
    <w:p w14:paraId="4D6C441F" w14:textId="302AF257" w:rsidR="00C45509" w:rsidRPr="00EF7AFE" w:rsidRDefault="009E1104" w:rsidP="009E1104">
      <w:pPr>
        <w:pStyle w:val="Prrafodelista"/>
        <w:spacing w:line="480" w:lineRule="auto"/>
        <w:ind w:left="0"/>
        <w:rPr>
          <w:b/>
        </w:rPr>
      </w:pPr>
      <w:proofErr w:type="spellStart"/>
      <w:r w:rsidRPr="009E1104">
        <w:rPr>
          <w:i/>
        </w:rPr>
        <w:t>Prevalence</w:t>
      </w:r>
      <w:proofErr w:type="spellEnd"/>
      <w:r w:rsidRPr="009E1104">
        <w:rPr>
          <w:i/>
        </w:rPr>
        <w:t xml:space="preserve"> of osteoporosis </w:t>
      </w:r>
      <w:proofErr w:type="spellStart"/>
      <w:r w:rsidRPr="009E1104">
        <w:rPr>
          <w:i/>
        </w:rPr>
        <w:t>among</w:t>
      </w:r>
      <w:proofErr w:type="spellEnd"/>
      <w:r w:rsidRPr="009E1104">
        <w:rPr>
          <w:i/>
        </w:rPr>
        <w:t xml:space="preserve"> </w:t>
      </w:r>
      <w:proofErr w:type="spellStart"/>
      <w:r w:rsidRPr="009E1104">
        <w:rPr>
          <w:i/>
        </w:rPr>
        <w:t>respondents</w:t>
      </w:r>
      <w:proofErr w:type="spellEnd"/>
      <w:r w:rsidRPr="009E1104">
        <w:rPr>
          <w:i/>
        </w:rPr>
        <w:t>.</w:t>
      </w:r>
    </w:p>
    <w:tbl>
      <w:tblPr>
        <w:tblW w:w="6921" w:type="dxa"/>
        <w:jc w:val="center"/>
        <w:tblCellMar>
          <w:left w:w="70" w:type="dxa"/>
          <w:right w:w="70" w:type="dxa"/>
        </w:tblCellMar>
        <w:tblLook w:val="04A0" w:firstRow="1" w:lastRow="0" w:firstColumn="1" w:lastColumn="0" w:noHBand="0" w:noVBand="1"/>
      </w:tblPr>
      <w:tblGrid>
        <w:gridCol w:w="3241"/>
        <w:gridCol w:w="749"/>
        <w:gridCol w:w="1091"/>
        <w:gridCol w:w="749"/>
        <w:gridCol w:w="1091"/>
      </w:tblGrid>
      <w:tr w:rsidR="00EF7AFE" w:rsidRPr="00EF7AFE" w14:paraId="2663312D" w14:textId="77777777" w:rsidTr="00E37638">
        <w:trPr>
          <w:trHeight w:val="300"/>
          <w:jc w:val="center"/>
        </w:trPr>
        <w:tc>
          <w:tcPr>
            <w:tcW w:w="3241" w:type="dxa"/>
            <w:vMerge w:val="restart"/>
            <w:tcBorders>
              <w:top w:val="single" w:sz="4" w:space="0" w:color="auto"/>
            </w:tcBorders>
            <w:shd w:val="clear" w:color="auto" w:fill="auto"/>
            <w:vAlign w:val="center"/>
            <w:hideMark/>
          </w:tcPr>
          <w:p w14:paraId="4D7E2F6E" w14:textId="3D9BDEFA" w:rsidR="00C45509" w:rsidRPr="00EF7AFE" w:rsidRDefault="009E1104" w:rsidP="00380630">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Prevalence</w:t>
            </w:r>
            <w:proofErr w:type="spellEnd"/>
            <w:r w:rsidRPr="009E1104">
              <w:rPr>
                <w:rFonts w:ascii="Times New Roman" w:hAnsi="Times New Roman"/>
                <w:sz w:val="24"/>
                <w:szCs w:val="24"/>
              </w:rPr>
              <w:t xml:space="preserve"> of osteoporosis</w:t>
            </w:r>
          </w:p>
        </w:tc>
        <w:tc>
          <w:tcPr>
            <w:tcW w:w="1840" w:type="dxa"/>
            <w:gridSpan w:val="2"/>
            <w:tcBorders>
              <w:top w:val="single" w:sz="4" w:space="0" w:color="auto"/>
            </w:tcBorders>
            <w:shd w:val="clear" w:color="auto" w:fill="auto"/>
            <w:noWrap/>
            <w:vAlign w:val="bottom"/>
            <w:hideMark/>
          </w:tcPr>
          <w:p w14:paraId="7CEE6473" w14:textId="34B88647" w:rsidR="00C45509" w:rsidRPr="00EF7AFE" w:rsidRDefault="009E1104" w:rsidP="00380630">
            <w:pPr>
              <w:spacing w:after="0" w:line="240" w:lineRule="auto"/>
              <w:jc w:val="center"/>
              <w:rPr>
                <w:rFonts w:ascii="Times New Roman" w:hAnsi="Times New Roman"/>
                <w:sz w:val="24"/>
                <w:szCs w:val="24"/>
              </w:rPr>
            </w:pPr>
            <w:r>
              <w:rPr>
                <w:rFonts w:ascii="Times New Roman" w:hAnsi="Times New Roman"/>
                <w:sz w:val="24"/>
                <w:szCs w:val="24"/>
              </w:rPr>
              <w:t>Yes</w:t>
            </w:r>
          </w:p>
        </w:tc>
        <w:tc>
          <w:tcPr>
            <w:tcW w:w="1840" w:type="dxa"/>
            <w:gridSpan w:val="2"/>
            <w:tcBorders>
              <w:top w:val="single" w:sz="4" w:space="0" w:color="auto"/>
            </w:tcBorders>
            <w:shd w:val="clear" w:color="auto" w:fill="auto"/>
            <w:noWrap/>
            <w:vAlign w:val="bottom"/>
            <w:hideMark/>
          </w:tcPr>
          <w:p w14:paraId="609099A5" w14:textId="08D13A1D"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r w:rsidR="009E1104">
              <w:rPr>
                <w:rFonts w:ascii="Times New Roman" w:hAnsi="Times New Roman"/>
                <w:sz w:val="24"/>
                <w:szCs w:val="24"/>
              </w:rPr>
              <w:t>o</w:t>
            </w:r>
          </w:p>
        </w:tc>
      </w:tr>
      <w:tr w:rsidR="00EF7AFE" w:rsidRPr="00EF7AFE" w14:paraId="65A374F2" w14:textId="77777777" w:rsidTr="00E37638">
        <w:trPr>
          <w:trHeight w:val="300"/>
          <w:jc w:val="center"/>
        </w:trPr>
        <w:tc>
          <w:tcPr>
            <w:tcW w:w="3241" w:type="dxa"/>
            <w:vMerge/>
            <w:tcBorders>
              <w:bottom w:val="single" w:sz="4" w:space="0" w:color="auto"/>
            </w:tcBorders>
            <w:vAlign w:val="center"/>
            <w:hideMark/>
          </w:tcPr>
          <w:p w14:paraId="466243D8" w14:textId="77777777" w:rsidR="00C45509" w:rsidRPr="00EF7AFE" w:rsidRDefault="00C45509" w:rsidP="00380630">
            <w:pPr>
              <w:spacing w:after="0" w:line="240" w:lineRule="auto"/>
              <w:jc w:val="center"/>
              <w:rPr>
                <w:rFonts w:ascii="Times New Roman" w:hAnsi="Times New Roman"/>
                <w:b/>
                <w:bCs/>
                <w:sz w:val="24"/>
                <w:szCs w:val="24"/>
              </w:rPr>
            </w:pPr>
          </w:p>
        </w:tc>
        <w:tc>
          <w:tcPr>
            <w:tcW w:w="749" w:type="dxa"/>
            <w:tcBorders>
              <w:bottom w:val="single" w:sz="4" w:space="0" w:color="auto"/>
            </w:tcBorders>
            <w:shd w:val="clear" w:color="auto" w:fill="auto"/>
            <w:noWrap/>
            <w:vAlign w:val="bottom"/>
            <w:hideMark/>
          </w:tcPr>
          <w:p w14:paraId="42D18DA9"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7C345E36"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w:t>
            </w:r>
          </w:p>
        </w:tc>
        <w:tc>
          <w:tcPr>
            <w:tcW w:w="749" w:type="dxa"/>
            <w:tcBorders>
              <w:bottom w:val="single" w:sz="4" w:space="0" w:color="auto"/>
            </w:tcBorders>
            <w:shd w:val="clear" w:color="auto" w:fill="auto"/>
            <w:noWrap/>
            <w:vAlign w:val="bottom"/>
            <w:hideMark/>
          </w:tcPr>
          <w:p w14:paraId="000F4B50"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N°</w:t>
            </w:r>
          </w:p>
        </w:tc>
        <w:tc>
          <w:tcPr>
            <w:tcW w:w="1091" w:type="dxa"/>
            <w:tcBorders>
              <w:bottom w:val="single" w:sz="4" w:space="0" w:color="auto"/>
            </w:tcBorders>
            <w:shd w:val="clear" w:color="auto" w:fill="auto"/>
            <w:noWrap/>
            <w:vAlign w:val="bottom"/>
            <w:hideMark/>
          </w:tcPr>
          <w:p w14:paraId="65C8DBC1" w14:textId="77777777" w:rsidR="00C45509" w:rsidRPr="00EF7AFE" w:rsidRDefault="00C45509" w:rsidP="00380630">
            <w:pPr>
              <w:spacing w:after="0" w:line="240" w:lineRule="auto"/>
              <w:jc w:val="center"/>
              <w:rPr>
                <w:rFonts w:ascii="Times New Roman" w:hAnsi="Times New Roman"/>
                <w:sz w:val="24"/>
                <w:szCs w:val="24"/>
              </w:rPr>
            </w:pPr>
            <w:r w:rsidRPr="00EF7AFE">
              <w:rPr>
                <w:rFonts w:ascii="Times New Roman" w:hAnsi="Times New Roman"/>
                <w:sz w:val="24"/>
                <w:szCs w:val="24"/>
              </w:rPr>
              <w:t>%</w:t>
            </w:r>
          </w:p>
        </w:tc>
      </w:tr>
      <w:tr w:rsidR="00EF7AFE" w:rsidRPr="00EF7AFE" w14:paraId="6341F176" w14:textId="77777777" w:rsidTr="00E37638">
        <w:trPr>
          <w:trHeight w:val="300"/>
          <w:jc w:val="center"/>
        </w:trPr>
        <w:tc>
          <w:tcPr>
            <w:tcW w:w="3241" w:type="dxa"/>
            <w:tcBorders>
              <w:top w:val="single" w:sz="4" w:space="0" w:color="auto"/>
              <w:bottom w:val="single" w:sz="4" w:space="0" w:color="auto"/>
            </w:tcBorders>
            <w:shd w:val="clear" w:color="auto" w:fill="auto"/>
            <w:noWrap/>
            <w:vAlign w:val="bottom"/>
            <w:hideMark/>
          </w:tcPr>
          <w:p w14:paraId="4ACA5CBA" w14:textId="77777777" w:rsidR="00E37638" w:rsidRPr="00EF7AFE" w:rsidRDefault="00E37638" w:rsidP="00E37638">
            <w:pPr>
              <w:spacing w:after="0" w:line="240" w:lineRule="auto"/>
              <w:jc w:val="center"/>
              <w:rPr>
                <w:rFonts w:ascii="Times New Roman" w:hAnsi="Times New Roman"/>
                <w:sz w:val="24"/>
                <w:szCs w:val="24"/>
              </w:rPr>
            </w:pPr>
          </w:p>
          <w:p w14:paraId="4831930C" w14:textId="465408FE" w:rsidR="00E37638" w:rsidRPr="00EF7AFE" w:rsidRDefault="009E1104" w:rsidP="00E37638">
            <w:pPr>
              <w:spacing w:after="0" w:line="240" w:lineRule="auto"/>
              <w:jc w:val="center"/>
              <w:rPr>
                <w:rFonts w:ascii="Times New Roman" w:hAnsi="Times New Roman"/>
                <w:sz w:val="24"/>
                <w:szCs w:val="24"/>
              </w:rPr>
            </w:pP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osteoporosis</w:t>
            </w:r>
          </w:p>
        </w:tc>
        <w:tc>
          <w:tcPr>
            <w:tcW w:w="749" w:type="dxa"/>
            <w:tcBorders>
              <w:top w:val="single" w:sz="4" w:space="0" w:color="auto"/>
              <w:bottom w:val="single" w:sz="4" w:space="0" w:color="auto"/>
            </w:tcBorders>
            <w:shd w:val="clear" w:color="auto" w:fill="auto"/>
            <w:noWrap/>
            <w:vAlign w:val="bottom"/>
            <w:hideMark/>
          </w:tcPr>
          <w:p w14:paraId="30E3155E" w14:textId="77777777" w:rsidR="00C45509" w:rsidRPr="00EF7AFE" w:rsidRDefault="00C45509" w:rsidP="00E37638">
            <w:pPr>
              <w:spacing w:after="0" w:line="240" w:lineRule="auto"/>
              <w:jc w:val="center"/>
              <w:rPr>
                <w:rFonts w:ascii="Times New Roman" w:hAnsi="Times New Roman"/>
                <w:sz w:val="24"/>
                <w:szCs w:val="24"/>
              </w:rPr>
            </w:pPr>
            <w:r w:rsidRPr="00EF7AFE">
              <w:rPr>
                <w:rFonts w:ascii="Times New Roman" w:hAnsi="Times New Roman"/>
                <w:sz w:val="24"/>
                <w:szCs w:val="24"/>
              </w:rPr>
              <w:t>20</w:t>
            </w:r>
          </w:p>
          <w:p w14:paraId="12B7811B"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bottom w:val="single" w:sz="4" w:space="0" w:color="auto"/>
            </w:tcBorders>
            <w:shd w:val="clear" w:color="auto" w:fill="auto"/>
            <w:noWrap/>
            <w:vAlign w:val="bottom"/>
            <w:hideMark/>
          </w:tcPr>
          <w:p w14:paraId="24E0A700" w14:textId="5C4D92C1" w:rsidR="00C45509" w:rsidRPr="00EF7AFE" w:rsidRDefault="004033C0" w:rsidP="00E37638">
            <w:pPr>
              <w:spacing w:after="0" w:line="240" w:lineRule="auto"/>
              <w:jc w:val="center"/>
              <w:rPr>
                <w:rFonts w:ascii="Times New Roman" w:hAnsi="Times New Roman"/>
                <w:sz w:val="24"/>
                <w:szCs w:val="24"/>
              </w:rPr>
            </w:pPr>
            <w:r>
              <w:rPr>
                <w:rFonts w:ascii="Times New Roman" w:hAnsi="Times New Roman"/>
                <w:sz w:val="24"/>
                <w:szCs w:val="24"/>
              </w:rPr>
              <w:t>19.23</w:t>
            </w:r>
          </w:p>
          <w:p w14:paraId="59737BB2" w14:textId="77777777" w:rsidR="00E37638" w:rsidRPr="00EF7AFE" w:rsidRDefault="00E37638" w:rsidP="00E37638">
            <w:pPr>
              <w:spacing w:after="0" w:line="240" w:lineRule="auto"/>
              <w:jc w:val="center"/>
              <w:rPr>
                <w:rFonts w:ascii="Times New Roman" w:hAnsi="Times New Roman"/>
                <w:sz w:val="24"/>
                <w:szCs w:val="24"/>
              </w:rPr>
            </w:pPr>
          </w:p>
        </w:tc>
        <w:tc>
          <w:tcPr>
            <w:tcW w:w="749" w:type="dxa"/>
            <w:tcBorders>
              <w:top w:val="single" w:sz="4" w:space="0" w:color="auto"/>
              <w:bottom w:val="single" w:sz="4" w:space="0" w:color="auto"/>
            </w:tcBorders>
            <w:shd w:val="clear" w:color="auto" w:fill="auto"/>
            <w:noWrap/>
            <w:vAlign w:val="bottom"/>
            <w:hideMark/>
          </w:tcPr>
          <w:p w14:paraId="3E5D4D8E" w14:textId="3CF0FAE8" w:rsidR="00C45509" w:rsidRPr="00EF7AFE" w:rsidRDefault="00EF7AFE" w:rsidP="00E37638">
            <w:pPr>
              <w:spacing w:after="0" w:line="240" w:lineRule="auto"/>
              <w:jc w:val="center"/>
              <w:rPr>
                <w:rFonts w:ascii="Times New Roman" w:hAnsi="Times New Roman"/>
                <w:sz w:val="24"/>
                <w:szCs w:val="24"/>
              </w:rPr>
            </w:pPr>
            <w:r>
              <w:rPr>
                <w:rFonts w:ascii="Times New Roman" w:hAnsi="Times New Roman"/>
                <w:sz w:val="24"/>
                <w:szCs w:val="24"/>
              </w:rPr>
              <w:t>84</w:t>
            </w:r>
          </w:p>
          <w:p w14:paraId="1C751E06"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bottom w:val="single" w:sz="4" w:space="0" w:color="auto"/>
            </w:tcBorders>
            <w:shd w:val="clear" w:color="auto" w:fill="auto"/>
            <w:noWrap/>
            <w:vAlign w:val="bottom"/>
            <w:hideMark/>
          </w:tcPr>
          <w:p w14:paraId="540D9310" w14:textId="4C9E9BE5" w:rsidR="00C45509" w:rsidRPr="00EF7AFE" w:rsidRDefault="00C45509" w:rsidP="00E37638">
            <w:pPr>
              <w:spacing w:after="0" w:line="240" w:lineRule="auto"/>
              <w:jc w:val="center"/>
              <w:rPr>
                <w:rFonts w:ascii="Times New Roman" w:hAnsi="Times New Roman"/>
                <w:sz w:val="24"/>
                <w:szCs w:val="24"/>
              </w:rPr>
            </w:pPr>
            <w:r w:rsidRPr="00EF7AFE">
              <w:rPr>
                <w:rFonts w:ascii="Times New Roman" w:hAnsi="Times New Roman"/>
                <w:sz w:val="24"/>
                <w:szCs w:val="24"/>
              </w:rPr>
              <w:t>8</w:t>
            </w:r>
            <w:r w:rsidR="00DD3FA8">
              <w:rPr>
                <w:rFonts w:ascii="Times New Roman" w:hAnsi="Times New Roman"/>
                <w:sz w:val="24"/>
                <w:szCs w:val="24"/>
              </w:rPr>
              <w:t>0</w:t>
            </w:r>
            <w:r w:rsidRPr="00EF7AFE">
              <w:rPr>
                <w:rFonts w:ascii="Times New Roman" w:hAnsi="Times New Roman"/>
                <w:sz w:val="24"/>
                <w:szCs w:val="24"/>
              </w:rPr>
              <w:t>.</w:t>
            </w:r>
            <w:r w:rsidR="00DD3FA8">
              <w:rPr>
                <w:rFonts w:ascii="Times New Roman" w:hAnsi="Times New Roman"/>
                <w:sz w:val="24"/>
                <w:szCs w:val="24"/>
              </w:rPr>
              <w:t>77</w:t>
            </w:r>
          </w:p>
          <w:p w14:paraId="27CFA036" w14:textId="77777777" w:rsidR="00E37638" w:rsidRPr="00EF7AFE" w:rsidRDefault="00E37638" w:rsidP="00E37638">
            <w:pPr>
              <w:spacing w:after="0" w:line="240" w:lineRule="auto"/>
              <w:jc w:val="center"/>
              <w:rPr>
                <w:rFonts w:ascii="Times New Roman" w:hAnsi="Times New Roman"/>
                <w:sz w:val="24"/>
                <w:szCs w:val="24"/>
              </w:rPr>
            </w:pPr>
          </w:p>
        </w:tc>
      </w:tr>
      <w:tr w:rsidR="00EF7AFE" w:rsidRPr="00EF7AFE" w14:paraId="02815505" w14:textId="77777777" w:rsidTr="00E37638">
        <w:trPr>
          <w:trHeight w:val="60"/>
          <w:jc w:val="center"/>
        </w:trPr>
        <w:tc>
          <w:tcPr>
            <w:tcW w:w="3241" w:type="dxa"/>
            <w:tcBorders>
              <w:top w:val="single" w:sz="4" w:space="0" w:color="auto"/>
            </w:tcBorders>
            <w:shd w:val="clear" w:color="auto" w:fill="auto"/>
            <w:noWrap/>
            <w:vAlign w:val="bottom"/>
            <w:hideMark/>
          </w:tcPr>
          <w:p w14:paraId="73D91E65" w14:textId="77777777" w:rsidR="00E37638" w:rsidRPr="00EF7AFE" w:rsidRDefault="00E37638" w:rsidP="00E37638">
            <w:pPr>
              <w:spacing w:after="0" w:line="240" w:lineRule="auto"/>
              <w:jc w:val="center"/>
              <w:rPr>
                <w:rFonts w:ascii="Times New Roman" w:hAnsi="Times New Roman"/>
                <w:b/>
                <w:bCs/>
                <w:sz w:val="24"/>
                <w:szCs w:val="24"/>
              </w:rPr>
            </w:pPr>
          </w:p>
        </w:tc>
        <w:tc>
          <w:tcPr>
            <w:tcW w:w="749" w:type="dxa"/>
            <w:tcBorders>
              <w:top w:val="single" w:sz="4" w:space="0" w:color="auto"/>
            </w:tcBorders>
            <w:shd w:val="clear" w:color="auto" w:fill="auto"/>
            <w:noWrap/>
            <w:vAlign w:val="bottom"/>
          </w:tcPr>
          <w:p w14:paraId="6B70036C" w14:textId="77777777" w:rsidR="00E37638" w:rsidRPr="00EF7AFE" w:rsidRDefault="00E37638" w:rsidP="00E37638">
            <w:pPr>
              <w:spacing w:after="0" w:line="240" w:lineRule="auto"/>
              <w:rPr>
                <w:rFonts w:ascii="Times New Roman" w:hAnsi="Times New Roman"/>
                <w:sz w:val="24"/>
                <w:szCs w:val="24"/>
              </w:rPr>
            </w:pPr>
          </w:p>
        </w:tc>
        <w:tc>
          <w:tcPr>
            <w:tcW w:w="1091" w:type="dxa"/>
            <w:tcBorders>
              <w:top w:val="single" w:sz="4" w:space="0" w:color="auto"/>
            </w:tcBorders>
            <w:shd w:val="clear" w:color="auto" w:fill="auto"/>
            <w:noWrap/>
            <w:vAlign w:val="bottom"/>
          </w:tcPr>
          <w:p w14:paraId="43403474" w14:textId="77777777" w:rsidR="00E37638" w:rsidRPr="00EF7AFE" w:rsidRDefault="00E37638" w:rsidP="00E37638">
            <w:pPr>
              <w:spacing w:after="0" w:line="240" w:lineRule="auto"/>
              <w:jc w:val="center"/>
              <w:rPr>
                <w:rFonts w:ascii="Times New Roman" w:hAnsi="Times New Roman"/>
                <w:sz w:val="24"/>
                <w:szCs w:val="24"/>
              </w:rPr>
            </w:pPr>
          </w:p>
        </w:tc>
        <w:tc>
          <w:tcPr>
            <w:tcW w:w="749" w:type="dxa"/>
            <w:tcBorders>
              <w:top w:val="single" w:sz="4" w:space="0" w:color="auto"/>
            </w:tcBorders>
            <w:shd w:val="clear" w:color="auto" w:fill="auto"/>
            <w:noWrap/>
            <w:vAlign w:val="bottom"/>
            <w:hideMark/>
          </w:tcPr>
          <w:p w14:paraId="1129277A" w14:textId="77777777" w:rsidR="00E37638" w:rsidRPr="00EF7AFE" w:rsidRDefault="00E37638" w:rsidP="00E37638">
            <w:pPr>
              <w:spacing w:after="0" w:line="240" w:lineRule="auto"/>
              <w:jc w:val="center"/>
              <w:rPr>
                <w:rFonts w:ascii="Times New Roman" w:hAnsi="Times New Roman"/>
                <w:sz w:val="24"/>
                <w:szCs w:val="24"/>
              </w:rPr>
            </w:pPr>
          </w:p>
        </w:tc>
        <w:tc>
          <w:tcPr>
            <w:tcW w:w="1091" w:type="dxa"/>
            <w:tcBorders>
              <w:top w:val="single" w:sz="4" w:space="0" w:color="auto"/>
            </w:tcBorders>
            <w:shd w:val="clear" w:color="auto" w:fill="auto"/>
            <w:noWrap/>
            <w:vAlign w:val="bottom"/>
            <w:hideMark/>
          </w:tcPr>
          <w:p w14:paraId="72DC24EC" w14:textId="77777777" w:rsidR="00E37638" w:rsidRPr="00EF7AFE" w:rsidRDefault="00E37638" w:rsidP="00E37638">
            <w:pPr>
              <w:spacing w:after="0" w:line="240" w:lineRule="auto"/>
              <w:jc w:val="center"/>
              <w:rPr>
                <w:rFonts w:ascii="Times New Roman" w:hAnsi="Times New Roman"/>
                <w:sz w:val="24"/>
                <w:szCs w:val="24"/>
              </w:rPr>
            </w:pPr>
          </w:p>
        </w:tc>
      </w:tr>
    </w:tbl>
    <w:p w14:paraId="0FF1022A" w14:textId="2BECAD6C" w:rsidR="009E1104" w:rsidRDefault="009E1104" w:rsidP="00C45509">
      <w:pPr>
        <w:pStyle w:val="Prrafodelista"/>
        <w:spacing w:line="480" w:lineRule="auto"/>
        <w:ind w:left="360"/>
        <w:rPr>
          <w:rFonts w:eastAsia="Calibri"/>
          <w:lang w:eastAsia="en-US"/>
        </w:rPr>
      </w:pPr>
      <w:bookmarkStart w:id="6" w:name="_Toc31132734"/>
      <w:proofErr w:type="spellStart"/>
      <w:r w:rsidRPr="009E1104">
        <w:rPr>
          <w:rFonts w:eastAsia="Calibri"/>
          <w:lang w:eastAsia="en-US"/>
        </w:rPr>
        <w:t>The</w:t>
      </w:r>
      <w:proofErr w:type="spellEnd"/>
      <w:r w:rsidRPr="009E1104">
        <w:rPr>
          <w:rFonts w:eastAsia="Calibri"/>
          <w:lang w:eastAsia="en-US"/>
        </w:rPr>
        <w:t xml:space="preserve"> </w:t>
      </w:r>
      <w:proofErr w:type="spellStart"/>
      <w:r w:rsidRPr="009E1104">
        <w:rPr>
          <w:rFonts w:eastAsia="Calibri"/>
          <w:lang w:eastAsia="en-US"/>
        </w:rPr>
        <w:t>prevalence</w:t>
      </w:r>
      <w:proofErr w:type="spellEnd"/>
      <w:r w:rsidRPr="009E1104">
        <w:rPr>
          <w:rFonts w:eastAsia="Calibri"/>
          <w:lang w:eastAsia="en-US"/>
        </w:rPr>
        <w:t xml:space="preserve"> of osteoporosis </w:t>
      </w:r>
      <w:proofErr w:type="spellStart"/>
      <w:r w:rsidRPr="009E1104">
        <w:rPr>
          <w:rFonts w:eastAsia="Calibri"/>
          <w:lang w:eastAsia="en-US"/>
        </w:rPr>
        <w:t>among</w:t>
      </w:r>
      <w:proofErr w:type="spellEnd"/>
      <w:r w:rsidRPr="009E1104">
        <w:rPr>
          <w:rFonts w:eastAsia="Calibri"/>
          <w:lang w:eastAsia="en-US"/>
        </w:rPr>
        <w:t xml:space="preserve"> </w:t>
      </w:r>
      <w:proofErr w:type="spellStart"/>
      <w:r w:rsidRPr="009E1104">
        <w:rPr>
          <w:rFonts w:eastAsia="Calibri"/>
          <w:lang w:eastAsia="en-US"/>
        </w:rPr>
        <w:t>the</w:t>
      </w:r>
      <w:proofErr w:type="spellEnd"/>
      <w:r w:rsidRPr="009E1104">
        <w:rPr>
          <w:rFonts w:eastAsia="Calibri"/>
          <w:lang w:eastAsia="en-US"/>
        </w:rPr>
        <w:t xml:space="preserve"> </w:t>
      </w:r>
      <w:proofErr w:type="spellStart"/>
      <w:r w:rsidRPr="009E1104">
        <w:rPr>
          <w:rFonts w:eastAsia="Calibri"/>
          <w:lang w:eastAsia="en-US"/>
        </w:rPr>
        <w:t>administrative</w:t>
      </w:r>
      <w:proofErr w:type="spellEnd"/>
      <w:r w:rsidRPr="009E1104">
        <w:rPr>
          <w:rFonts w:eastAsia="Calibri"/>
          <w:lang w:eastAsia="en-US"/>
        </w:rPr>
        <w:t xml:space="preserve"> and </w:t>
      </w:r>
      <w:proofErr w:type="spellStart"/>
      <w:r w:rsidRPr="009E1104">
        <w:rPr>
          <w:rFonts w:eastAsia="Calibri"/>
          <w:lang w:eastAsia="en-US"/>
        </w:rPr>
        <w:t>teaching</w:t>
      </w:r>
      <w:proofErr w:type="spellEnd"/>
      <w:r w:rsidRPr="009E1104">
        <w:rPr>
          <w:rFonts w:eastAsia="Calibri"/>
          <w:lang w:eastAsia="en-US"/>
        </w:rPr>
        <w:t xml:space="preserve"> staff of </w:t>
      </w:r>
      <w:proofErr w:type="spellStart"/>
      <w:r w:rsidRPr="009E1104">
        <w:rPr>
          <w:rFonts w:eastAsia="Calibri"/>
          <w:lang w:eastAsia="en-US"/>
        </w:rPr>
        <w:t>the</w:t>
      </w:r>
      <w:proofErr w:type="spellEnd"/>
      <w:r w:rsidRPr="009E1104">
        <w:rPr>
          <w:rFonts w:eastAsia="Calibri"/>
          <w:lang w:eastAsia="en-US"/>
        </w:rPr>
        <w:t xml:space="preserve"> </w:t>
      </w:r>
      <w:proofErr w:type="spellStart"/>
      <w:r w:rsidRPr="009E1104">
        <w:rPr>
          <w:rFonts w:eastAsia="Calibri"/>
          <w:lang w:eastAsia="en-US"/>
        </w:rPr>
        <w:t>National</w:t>
      </w:r>
      <w:proofErr w:type="spellEnd"/>
      <w:r w:rsidRPr="009E1104">
        <w:rPr>
          <w:rFonts w:eastAsia="Calibri"/>
          <w:lang w:eastAsia="en-US"/>
        </w:rPr>
        <w:t xml:space="preserve"> </w:t>
      </w:r>
      <w:proofErr w:type="spellStart"/>
      <w:r w:rsidRPr="009E1104">
        <w:rPr>
          <w:rFonts w:eastAsia="Calibri"/>
          <w:lang w:eastAsia="en-US"/>
        </w:rPr>
        <w:t>University</w:t>
      </w:r>
      <w:proofErr w:type="spellEnd"/>
      <w:r w:rsidRPr="009E1104">
        <w:rPr>
          <w:rFonts w:eastAsia="Calibri"/>
          <w:lang w:eastAsia="en-US"/>
        </w:rPr>
        <w:t xml:space="preserve"> of </w:t>
      </w:r>
      <w:proofErr w:type="spellStart"/>
      <w:r w:rsidRPr="009E1104">
        <w:rPr>
          <w:rFonts w:eastAsia="Calibri"/>
          <w:lang w:eastAsia="en-US"/>
        </w:rPr>
        <w:t>Education</w:t>
      </w:r>
      <w:proofErr w:type="spellEnd"/>
      <w:r w:rsidRPr="009E1104">
        <w:rPr>
          <w:rFonts w:eastAsia="Calibri"/>
          <w:lang w:eastAsia="en-US"/>
        </w:rPr>
        <w:t xml:space="preserve"> </w:t>
      </w:r>
      <w:proofErr w:type="spellStart"/>
      <w:r w:rsidRPr="009E1104">
        <w:rPr>
          <w:rFonts w:eastAsia="Calibri"/>
          <w:lang w:eastAsia="en-US"/>
        </w:rPr>
        <w:t>was</w:t>
      </w:r>
      <w:proofErr w:type="spellEnd"/>
      <w:r w:rsidRPr="009E1104">
        <w:rPr>
          <w:rFonts w:eastAsia="Calibri"/>
          <w:lang w:eastAsia="en-US"/>
        </w:rPr>
        <w:t xml:space="preserve"> 19.23%. </w:t>
      </w:r>
    </w:p>
    <w:p w14:paraId="6A811C21" w14:textId="77777777" w:rsidR="009E1104" w:rsidRDefault="00C45509" w:rsidP="00C45509">
      <w:pPr>
        <w:pStyle w:val="Prrafodelista"/>
        <w:spacing w:line="480" w:lineRule="auto"/>
        <w:ind w:left="360"/>
        <w:rPr>
          <w:i/>
        </w:rPr>
      </w:pPr>
      <w:proofErr w:type="spellStart"/>
      <w:r w:rsidRPr="009E1104">
        <w:rPr>
          <w:b/>
          <w:bCs/>
          <w:iCs/>
        </w:rPr>
        <w:t>Tabl</w:t>
      </w:r>
      <w:r w:rsidR="009E1104" w:rsidRPr="009E1104">
        <w:rPr>
          <w:b/>
          <w:bCs/>
          <w:iCs/>
        </w:rPr>
        <w:t>e</w:t>
      </w:r>
      <w:proofErr w:type="spellEnd"/>
      <w:r w:rsidRPr="009E1104">
        <w:rPr>
          <w:b/>
          <w:bCs/>
          <w:iCs/>
        </w:rPr>
        <w:t xml:space="preserve"> </w:t>
      </w:r>
      <w:r w:rsidR="00764BFA" w:rsidRPr="009E1104">
        <w:rPr>
          <w:b/>
          <w:bCs/>
          <w:iCs/>
        </w:rPr>
        <w:t>7</w:t>
      </w:r>
      <w:r w:rsidR="00764BFA" w:rsidRPr="00CE4512">
        <w:rPr>
          <w:i/>
        </w:rPr>
        <w:t xml:space="preserve"> </w:t>
      </w:r>
    </w:p>
    <w:p w14:paraId="4A7C6863" w14:textId="1CC5C772" w:rsidR="00C45509" w:rsidRPr="009E1104" w:rsidRDefault="009E1104" w:rsidP="00C45509">
      <w:pPr>
        <w:pStyle w:val="Prrafodelista"/>
        <w:spacing w:line="480" w:lineRule="auto"/>
        <w:ind w:left="360"/>
        <w:rPr>
          <w:b/>
          <w:i/>
          <w:iCs/>
        </w:rPr>
      </w:pPr>
      <w:proofErr w:type="spellStart"/>
      <w:r w:rsidRPr="009E1104">
        <w:rPr>
          <w:i/>
          <w:iCs/>
        </w:rPr>
        <w:t>Correlation</w:t>
      </w:r>
      <w:proofErr w:type="spellEnd"/>
      <w:r w:rsidRPr="009E1104">
        <w:rPr>
          <w:i/>
          <w:iCs/>
        </w:rPr>
        <w:t xml:space="preserve"> </w:t>
      </w:r>
      <w:proofErr w:type="spellStart"/>
      <w:r w:rsidRPr="009E1104">
        <w:rPr>
          <w:i/>
          <w:iCs/>
        </w:rPr>
        <w:t>between</w:t>
      </w:r>
      <w:proofErr w:type="spellEnd"/>
      <w:r w:rsidRPr="009E1104">
        <w:rPr>
          <w:i/>
          <w:iCs/>
        </w:rPr>
        <w:t xml:space="preserve"> </w:t>
      </w:r>
      <w:proofErr w:type="spellStart"/>
      <w:r w:rsidRPr="009E1104">
        <w:rPr>
          <w:i/>
          <w:iCs/>
        </w:rPr>
        <w:t>Body</w:t>
      </w:r>
      <w:proofErr w:type="spellEnd"/>
      <w:r w:rsidRPr="009E1104">
        <w:rPr>
          <w:i/>
          <w:iCs/>
        </w:rPr>
        <w:t xml:space="preserve"> </w:t>
      </w:r>
      <w:proofErr w:type="spellStart"/>
      <w:r w:rsidRPr="009E1104">
        <w:rPr>
          <w:i/>
          <w:iCs/>
        </w:rPr>
        <w:t>Mass</w:t>
      </w:r>
      <w:proofErr w:type="spellEnd"/>
      <w:r w:rsidRPr="009E1104">
        <w:rPr>
          <w:i/>
          <w:iCs/>
        </w:rPr>
        <w:t xml:space="preserve"> </w:t>
      </w:r>
      <w:proofErr w:type="spellStart"/>
      <w:r w:rsidRPr="009E1104">
        <w:rPr>
          <w:i/>
          <w:iCs/>
        </w:rPr>
        <w:t>Index</w:t>
      </w:r>
      <w:proofErr w:type="spellEnd"/>
      <w:r w:rsidRPr="009E1104">
        <w:rPr>
          <w:i/>
          <w:iCs/>
        </w:rPr>
        <w:t xml:space="preserve"> and </w:t>
      </w:r>
      <w:proofErr w:type="spellStart"/>
      <w:r w:rsidRPr="009E1104">
        <w:rPr>
          <w:i/>
          <w:iCs/>
        </w:rPr>
        <w:t>knowledge</w:t>
      </w:r>
      <w:proofErr w:type="spellEnd"/>
      <w:r w:rsidRPr="009E1104">
        <w:rPr>
          <w:i/>
          <w:iCs/>
        </w:rPr>
        <w:t xml:space="preserve"> of </w:t>
      </w:r>
      <w:proofErr w:type="spellStart"/>
      <w:r w:rsidRPr="009E1104">
        <w:rPr>
          <w:i/>
          <w:iCs/>
        </w:rPr>
        <w:t>decalcification</w:t>
      </w:r>
      <w:proofErr w:type="spellEnd"/>
      <w:r w:rsidR="00C45509" w:rsidRPr="009E1104">
        <w:rPr>
          <w:bCs/>
          <w:i/>
          <w:iCs/>
        </w:rPr>
        <w:t>.</w:t>
      </w:r>
      <w:bookmarkEnd w:id="6"/>
    </w:p>
    <w:tbl>
      <w:tblPr>
        <w:tblW w:w="5240" w:type="dxa"/>
        <w:jc w:val="center"/>
        <w:tblBorders>
          <w:top w:val="single" w:sz="4" w:space="0" w:color="auto"/>
        </w:tblBorders>
        <w:tblLayout w:type="fixed"/>
        <w:tblCellMar>
          <w:left w:w="93" w:type="dxa"/>
          <w:right w:w="93" w:type="dxa"/>
        </w:tblCellMar>
        <w:tblLook w:val="0000" w:firstRow="0" w:lastRow="0" w:firstColumn="0" w:lastColumn="0" w:noHBand="0" w:noVBand="0"/>
      </w:tblPr>
      <w:tblGrid>
        <w:gridCol w:w="1887"/>
        <w:gridCol w:w="2102"/>
        <w:gridCol w:w="1251"/>
      </w:tblGrid>
      <w:tr w:rsidR="00C45509" w:rsidRPr="00CE4512" w14:paraId="305ADE38" w14:textId="77777777" w:rsidTr="00313F9E">
        <w:trPr>
          <w:trHeight w:val="273"/>
          <w:jc w:val="center"/>
        </w:trPr>
        <w:tc>
          <w:tcPr>
            <w:tcW w:w="1887" w:type="dxa"/>
            <w:tcBorders>
              <w:bottom w:val="single" w:sz="4" w:space="0" w:color="auto"/>
            </w:tcBorders>
            <w:shd w:val="clear" w:color="000000" w:fill="FFFFFF"/>
          </w:tcPr>
          <w:p w14:paraId="21BD87EA" w14:textId="77777777" w:rsidR="00C45509" w:rsidRPr="00CE4512" w:rsidRDefault="00C45509" w:rsidP="00380630">
            <w:pPr>
              <w:autoSpaceDE w:val="0"/>
              <w:autoSpaceDN w:val="0"/>
              <w:adjustRightInd w:val="0"/>
              <w:spacing w:after="0" w:line="240" w:lineRule="auto"/>
              <w:rPr>
                <w:rFonts w:ascii="Times New Roman" w:hAnsi="Times New Roman"/>
                <w:sz w:val="24"/>
                <w:szCs w:val="24"/>
              </w:rPr>
            </w:pPr>
          </w:p>
        </w:tc>
        <w:tc>
          <w:tcPr>
            <w:tcW w:w="2102" w:type="dxa"/>
            <w:tcBorders>
              <w:bottom w:val="single" w:sz="4" w:space="0" w:color="auto"/>
            </w:tcBorders>
            <w:shd w:val="clear" w:color="000000" w:fill="FFFFFF"/>
          </w:tcPr>
          <w:p w14:paraId="7F13EFB3" w14:textId="77777777" w:rsidR="00C45509" w:rsidRPr="00CE4512" w:rsidRDefault="00C45509" w:rsidP="00380630">
            <w:pPr>
              <w:autoSpaceDE w:val="0"/>
              <w:autoSpaceDN w:val="0"/>
              <w:adjustRightInd w:val="0"/>
              <w:spacing w:after="0" w:line="240" w:lineRule="auto"/>
              <w:rPr>
                <w:rFonts w:ascii="Times New Roman" w:hAnsi="Times New Roman"/>
                <w:sz w:val="24"/>
                <w:szCs w:val="24"/>
              </w:rPr>
            </w:pPr>
          </w:p>
        </w:tc>
        <w:tc>
          <w:tcPr>
            <w:tcW w:w="1251" w:type="dxa"/>
            <w:tcBorders>
              <w:bottom w:val="single" w:sz="4" w:space="0" w:color="auto"/>
            </w:tcBorders>
            <w:shd w:val="clear" w:color="000000" w:fill="FFFFFF"/>
            <w:vAlign w:val="center"/>
          </w:tcPr>
          <w:p w14:paraId="3ADFA21C" w14:textId="77777777" w:rsidR="00C45509" w:rsidRPr="00CE4512" w:rsidRDefault="00C45509" w:rsidP="00380630">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IMC</w:t>
            </w:r>
          </w:p>
        </w:tc>
      </w:tr>
      <w:tr w:rsidR="009E1104" w:rsidRPr="00CE4512" w14:paraId="11EBEB84" w14:textId="77777777" w:rsidTr="00313F9E">
        <w:trPr>
          <w:trHeight w:val="273"/>
          <w:jc w:val="center"/>
        </w:trPr>
        <w:tc>
          <w:tcPr>
            <w:tcW w:w="1887" w:type="dxa"/>
            <w:tcBorders>
              <w:top w:val="single" w:sz="4" w:space="0" w:color="auto"/>
            </w:tcBorders>
            <w:shd w:val="clear" w:color="000000" w:fill="FFFFFF"/>
            <w:vAlign w:val="center"/>
          </w:tcPr>
          <w:p w14:paraId="290BE037" w14:textId="7B0A8B1A"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2102" w:type="dxa"/>
            <w:tcBorders>
              <w:top w:val="single" w:sz="4" w:space="0" w:color="auto"/>
            </w:tcBorders>
            <w:shd w:val="clear" w:color="000000" w:fill="FFFFFF"/>
          </w:tcPr>
          <w:p w14:paraId="2D1E7C93" w14:textId="7A8A7A8D"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Correlation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coefficient</w:t>
            </w:r>
            <w:proofErr w:type="spellEnd"/>
          </w:p>
        </w:tc>
        <w:tc>
          <w:tcPr>
            <w:tcW w:w="1251" w:type="dxa"/>
            <w:tcBorders>
              <w:top w:val="single" w:sz="4" w:space="0" w:color="auto"/>
            </w:tcBorders>
            <w:shd w:val="clear" w:color="000000" w:fill="FFFFFF"/>
            <w:vAlign w:val="center"/>
          </w:tcPr>
          <w:p w14:paraId="059DCDC6"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r w:rsidRPr="00CE4512">
              <w:rPr>
                <w:rFonts w:ascii="Times New Roman" w:hAnsi="Times New Roman"/>
                <w:sz w:val="24"/>
                <w:szCs w:val="24"/>
              </w:rPr>
              <w:t>0.357(**)</w:t>
            </w:r>
          </w:p>
        </w:tc>
      </w:tr>
      <w:tr w:rsidR="009E1104" w:rsidRPr="00CE4512" w14:paraId="41285AB3" w14:textId="77777777" w:rsidTr="00313F9E">
        <w:trPr>
          <w:trHeight w:val="273"/>
          <w:jc w:val="center"/>
        </w:trPr>
        <w:tc>
          <w:tcPr>
            <w:tcW w:w="1887" w:type="dxa"/>
            <w:tcBorders>
              <w:top w:val="nil"/>
            </w:tcBorders>
            <w:shd w:val="clear" w:color="000000" w:fill="FFFFFF"/>
          </w:tcPr>
          <w:p w14:paraId="22B6DE7A"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p>
        </w:tc>
        <w:tc>
          <w:tcPr>
            <w:tcW w:w="2102" w:type="dxa"/>
            <w:tcBorders>
              <w:top w:val="nil"/>
            </w:tcBorders>
            <w:shd w:val="clear" w:color="000000" w:fill="FFFFFF"/>
          </w:tcPr>
          <w:p w14:paraId="5C81B8A6" w14:textId="7CA5B76A"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Spearman's</w:t>
            </w:r>
            <w:proofErr w:type="spellEnd"/>
            <w:r w:rsidRPr="009E1104">
              <w:rPr>
                <w:rFonts w:ascii="Times New Roman" w:hAnsi="Times New Roman"/>
                <w:sz w:val="24"/>
                <w:szCs w:val="24"/>
              </w:rPr>
              <w:t xml:space="preserve"> Rho</w:t>
            </w:r>
          </w:p>
        </w:tc>
        <w:tc>
          <w:tcPr>
            <w:tcW w:w="1251" w:type="dxa"/>
            <w:tcBorders>
              <w:top w:val="nil"/>
            </w:tcBorders>
            <w:shd w:val="clear" w:color="000000" w:fill="FFFFFF"/>
            <w:vAlign w:val="center"/>
          </w:tcPr>
          <w:p w14:paraId="77959955" w14:textId="77777777"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.000</w:t>
            </w:r>
          </w:p>
        </w:tc>
      </w:tr>
      <w:tr w:rsidR="009E1104" w:rsidRPr="00CE4512" w14:paraId="513F24C2" w14:textId="77777777" w:rsidTr="00313F9E">
        <w:trPr>
          <w:trHeight w:val="273"/>
          <w:jc w:val="center"/>
        </w:trPr>
        <w:tc>
          <w:tcPr>
            <w:tcW w:w="1887" w:type="dxa"/>
            <w:tcBorders>
              <w:top w:val="nil"/>
              <w:bottom w:val="single" w:sz="4" w:space="0" w:color="auto"/>
            </w:tcBorders>
            <w:shd w:val="clear" w:color="000000" w:fill="FFFFFF"/>
          </w:tcPr>
          <w:p w14:paraId="442C5294" w14:textId="77777777" w:rsidR="009E1104" w:rsidRPr="00CE4512" w:rsidRDefault="009E1104" w:rsidP="009E1104">
            <w:pPr>
              <w:autoSpaceDE w:val="0"/>
              <w:autoSpaceDN w:val="0"/>
              <w:adjustRightInd w:val="0"/>
              <w:spacing w:after="0" w:line="240" w:lineRule="auto"/>
              <w:rPr>
                <w:rFonts w:ascii="Times New Roman" w:hAnsi="Times New Roman"/>
                <w:sz w:val="24"/>
                <w:szCs w:val="24"/>
              </w:rPr>
            </w:pPr>
          </w:p>
        </w:tc>
        <w:tc>
          <w:tcPr>
            <w:tcW w:w="2102" w:type="dxa"/>
            <w:tcBorders>
              <w:top w:val="nil"/>
              <w:bottom w:val="single" w:sz="4" w:space="0" w:color="auto"/>
            </w:tcBorders>
            <w:shd w:val="clear" w:color="000000" w:fill="FFFFFF"/>
          </w:tcPr>
          <w:p w14:paraId="7368D187" w14:textId="79FD2861" w:rsidR="009E1104" w:rsidRPr="009E1104" w:rsidRDefault="009E1104" w:rsidP="009E1104">
            <w:pPr>
              <w:autoSpaceDE w:val="0"/>
              <w:autoSpaceDN w:val="0"/>
              <w:adjustRightInd w:val="0"/>
              <w:spacing w:after="0" w:line="240" w:lineRule="auto"/>
              <w:rPr>
                <w:rFonts w:ascii="Times New Roman" w:hAnsi="Times New Roman"/>
                <w:sz w:val="24"/>
                <w:szCs w:val="24"/>
              </w:rPr>
            </w:pPr>
            <w:r w:rsidRPr="009E1104">
              <w:rPr>
                <w:rFonts w:ascii="Times New Roman" w:hAnsi="Times New Roman"/>
                <w:sz w:val="24"/>
                <w:szCs w:val="24"/>
              </w:rPr>
              <w:t>Sig. (2-tailed)</w:t>
            </w:r>
          </w:p>
        </w:tc>
        <w:tc>
          <w:tcPr>
            <w:tcW w:w="1251" w:type="dxa"/>
            <w:tcBorders>
              <w:top w:val="nil"/>
              <w:bottom w:val="single" w:sz="4" w:space="0" w:color="auto"/>
            </w:tcBorders>
            <w:shd w:val="clear" w:color="000000" w:fill="FFFFFF"/>
            <w:vAlign w:val="center"/>
          </w:tcPr>
          <w:p w14:paraId="173B191D" w14:textId="77777777" w:rsidR="009E1104" w:rsidRPr="00CE4512" w:rsidRDefault="009E1104" w:rsidP="009E1104">
            <w:pPr>
              <w:autoSpaceDE w:val="0"/>
              <w:autoSpaceDN w:val="0"/>
              <w:adjustRightInd w:val="0"/>
              <w:spacing w:after="0" w:line="240" w:lineRule="auto"/>
              <w:jc w:val="right"/>
              <w:rPr>
                <w:rFonts w:ascii="Times New Roman" w:hAnsi="Times New Roman"/>
                <w:sz w:val="24"/>
                <w:szCs w:val="24"/>
              </w:rPr>
            </w:pPr>
            <w:r w:rsidRPr="00CE4512">
              <w:rPr>
                <w:rFonts w:ascii="Times New Roman" w:hAnsi="Times New Roman"/>
                <w:sz w:val="24"/>
                <w:szCs w:val="24"/>
              </w:rPr>
              <w:t>104</w:t>
            </w:r>
          </w:p>
        </w:tc>
      </w:tr>
    </w:tbl>
    <w:p w14:paraId="7E71FB4B" w14:textId="14AA137D" w:rsidR="00C45509" w:rsidRPr="00CE4512" w:rsidRDefault="00C45509" w:rsidP="00C45509">
      <w:pPr>
        <w:autoSpaceDE w:val="0"/>
        <w:autoSpaceDN w:val="0"/>
        <w:adjustRightInd w:val="0"/>
        <w:spacing w:line="360" w:lineRule="auto"/>
        <w:jc w:val="center"/>
        <w:rPr>
          <w:rFonts w:ascii="Times New Roman" w:hAnsi="Times New Roman"/>
          <w:sz w:val="24"/>
          <w:szCs w:val="24"/>
        </w:rPr>
      </w:pPr>
      <w:bookmarkStart w:id="7" w:name="_Hlk31525941"/>
      <w:r w:rsidRPr="00CE4512">
        <w:rPr>
          <w:rFonts w:ascii="Times New Roman" w:hAnsi="Times New Roman"/>
          <w:sz w:val="24"/>
          <w:szCs w:val="24"/>
        </w:rPr>
        <w:t xml:space="preserve">** </w:t>
      </w:r>
      <w:proofErr w:type="spellStart"/>
      <w:r w:rsidR="009E1104" w:rsidRPr="009E1104">
        <w:rPr>
          <w:rFonts w:ascii="Times New Roman" w:hAnsi="Times New Roman"/>
          <w:sz w:val="24"/>
          <w:szCs w:val="24"/>
        </w:rPr>
        <w:t>The</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correlation</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is</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significant</w:t>
      </w:r>
      <w:proofErr w:type="spellEnd"/>
      <w:r w:rsidR="009E1104" w:rsidRPr="009E1104">
        <w:rPr>
          <w:rFonts w:ascii="Times New Roman" w:hAnsi="Times New Roman"/>
          <w:sz w:val="24"/>
          <w:szCs w:val="24"/>
        </w:rPr>
        <w:t xml:space="preserve"> at </w:t>
      </w:r>
      <w:proofErr w:type="spellStart"/>
      <w:r w:rsidR="009E1104" w:rsidRPr="009E1104">
        <w:rPr>
          <w:rFonts w:ascii="Times New Roman" w:hAnsi="Times New Roman"/>
          <w:sz w:val="24"/>
          <w:szCs w:val="24"/>
        </w:rPr>
        <w:t>the</w:t>
      </w:r>
      <w:proofErr w:type="spellEnd"/>
      <w:r w:rsidR="009E1104" w:rsidRPr="009E1104">
        <w:rPr>
          <w:rFonts w:ascii="Times New Roman" w:hAnsi="Times New Roman"/>
          <w:sz w:val="24"/>
          <w:szCs w:val="24"/>
        </w:rPr>
        <w:t xml:space="preserve"> 0.05 % </w:t>
      </w:r>
      <w:proofErr w:type="spellStart"/>
      <w:r w:rsidR="009E1104" w:rsidRPr="009E1104">
        <w:rPr>
          <w:rFonts w:ascii="Times New Roman" w:hAnsi="Times New Roman"/>
          <w:sz w:val="24"/>
          <w:szCs w:val="24"/>
        </w:rPr>
        <w:t>level</w:t>
      </w:r>
      <w:proofErr w:type="spellEnd"/>
      <w:r w:rsidR="009E1104" w:rsidRPr="009E1104">
        <w:rPr>
          <w:rFonts w:ascii="Times New Roman" w:hAnsi="Times New Roman"/>
          <w:sz w:val="24"/>
          <w:szCs w:val="24"/>
        </w:rPr>
        <w:t xml:space="preserve"> </w:t>
      </w:r>
      <w:r w:rsidR="00EC7CF3">
        <w:rPr>
          <w:rFonts w:ascii="Times New Roman" w:hAnsi="Times New Roman"/>
          <w:sz w:val="24"/>
          <w:szCs w:val="24"/>
        </w:rPr>
        <w:t>(2-</w:t>
      </w:r>
      <w:r w:rsidR="009E1104" w:rsidRPr="009E1104">
        <w:t xml:space="preserve"> </w:t>
      </w:r>
      <w:proofErr w:type="spellStart"/>
      <w:r w:rsidR="009E1104" w:rsidRPr="009E1104">
        <w:rPr>
          <w:rFonts w:ascii="Times New Roman" w:hAnsi="Times New Roman"/>
          <w:sz w:val="24"/>
          <w:szCs w:val="24"/>
        </w:rPr>
        <w:t>tail</w:t>
      </w:r>
      <w:r w:rsidR="009E1104">
        <w:rPr>
          <w:rFonts w:ascii="Times New Roman" w:hAnsi="Times New Roman"/>
          <w:sz w:val="24"/>
          <w:szCs w:val="24"/>
        </w:rPr>
        <w:t>ed</w:t>
      </w:r>
      <w:proofErr w:type="spellEnd"/>
      <w:r w:rsidR="00EC7CF3">
        <w:rPr>
          <w:rFonts w:ascii="Times New Roman" w:hAnsi="Times New Roman"/>
          <w:sz w:val="24"/>
          <w:szCs w:val="24"/>
        </w:rPr>
        <w:t>).</w:t>
      </w:r>
    </w:p>
    <w:bookmarkEnd w:id="7"/>
    <w:p w14:paraId="67F55FC8" w14:textId="2A001A51" w:rsidR="00624812" w:rsidRPr="00CE4512" w:rsidRDefault="009E1104" w:rsidP="00C45509">
      <w:pPr>
        <w:spacing w:line="360" w:lineRule="auto"/>
        <w:ind w:firstLine="708"/>
        <w:jc w:val="both"/>
        <w:rPr>
          <w:rFonts w:ascii="Times New Roman" w:hAnsi="Times New Roman"/>
          <w:color w:val="C00000"/>
          <w:sz w:val="24"/>
          <w:szCs w:val="24"/>
        </w:rPr>
      </w:pPr>
      <w:proofErr w:type="spellStart"/>
      <w:r w:rsidRPr="009E1104">
        <w:rPr>
          <w:rFonts w:ascii="Times New Roman" w:hAnsi="Times New Roman"/>
          <w:sz w:val="24"/>
          <w:szCs w:val="24"/>
        </w:rPr>
        <w:t>According</w:t>
      </w:r>
      <w:proofErr w:type="spellEnd"/>
      <w:r w:rsidRPr="009E1104">
        <w:rPr>
          <w:rFonts w:ascii="Times New Roman" w:hAnsi="Times New Roman"/>
          <w:sz w:val="24"/>
          <w:szCs w:val="24"/>
        </w:rPr>
        <w:t xml:space="preserve"> to </w:t>
      </w:r>
      <w:proofErr w:type="spellStart"/>
      <w:r w:rsidRPr="009E1104">
        <w:rPr>
          <w:rFonts w:ascii="Times New Roman" w:hAnsi="Times New Roman"/>
          <w:sz w:val="24"/>
          <w:szCs w:val="24"/>
        </w:rPr>
        <w:t>Table</w:t>
      </w:r>
      <w:proofErr w:type="spellEnd"/>
      <w:r w:rsidRPr="009E1104">
        <w:rPr>
          <w:rFonts w:ascii="Times New Roman" w:hAnsi="Times New Roman"/>
          <w:sz w:val="24"/>
          <w:szCs w:val="24"/>
        </w:rPr>
        <w:t xml:space="preserve"> 7, </w:t>
      </w:r>
      <w:proofErr w:type="spellStart"/>
      <w:r w:rsidRPr="009E1104">
        <w:rPr>
          <w:rFonts w:ascii="Times New Roman" w:hAnsi="Times New Roman"/>
          <w:sz w:val="24"/>
          <w:szCs w:val="24"/>
        </w:rPr>
        <w:t>Spearman's</w:t>
      </w:r>
      <w:proofErr w:type="spellEnd"/>
      <w:r w:rsidRPr="009E1104">
        <w:rPr>
          <w:rFonts w:ascii="Times New Roman" w:hAnsi="Times New Roman"/>
          <w:sz w:val="24"/>
          <w:szCs w:val="24"/>
        </w:rPr>
        <w:t xml:space="preserve"> Rho = 0.357 p = 0.000, </w:t>
      </w:r>
      <w:proofErr w:type="spellStart"/>
      <w:r w:rsidRPr="009E1104">
        <w:rPr>
          <w:rFonts w:ascii="Times New Roman" w:hAnsi="Times New Roman"/>
          <w:sz w:val="24"/>
          <w:szCs w:val="24"/>
        </w:rPr>
        <w:t>there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is</w:t>
      </w:r>
      <w:proofErr w:type="spellEnd"/>
      <w:r w:rsidRPr="009E1104">
        <w:rPr>
          <w:rFonts w:ascii="Times New Roman" w:hAnsi="Times New Roman"/>
          <w:sz w:val="24"/>
          <w:szCs w:val="24"/>
        </w:rPr>
        <w:t xml:space="preserve"> a </w:t>
      </w:r>
      <w:proofErr w:type="spellStart"/>
      <w:r w:rsidRPr="009E1104">
        <w:rPr>
          <w:rFonts w:ascii="Times New Roman" w:hAnsi="Times New Roman"/>
          <w:sz w:val="24"/>
          <w:szCs w:val="24"/>
        </w:rPr>
        <w:t>weak</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correlation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between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bone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and </w:t>
      </w:r>
      <w:proofErr w:type="spellStart"/>
      <w:r w:rsidRPr="009E1104">
        <w:rPr>
          <w:rFonts w:ascii="Times New Roman" w:hAnsi="Times New Roman"/>
          <w:sz w:val="24"/>
          <w:szCs w:val="24"/>
        </w:rPr>
        <w:t>body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mass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index</w:t>
      </w:r>
      <w:proofErr w:type="spellEnd"/>
      <w:r w:rsidRPr="009E1104">
        <w:rPr>
          <w:rFonts w:ascii="Times New Roman" w:hAnsi="Times New Roman"/>
          <w:sz w:val="24"/>
          <w:szCs w:val="24"/>
        </w:rPr>
        <w:t xml:space="preserve"> (BMI). </w:t>
      </w:r>
      <w:proofErr w:type="spellStart"/>
      <w:r w:rsidRPr="009E1104">
        <w:rPr>
          <w:rFonts w:ascii="Times New Roman" w:hAnsi="Times New Roman"/>
          <w:sz w:val="24"/>
          <w:szCs w:val="24"/>
        </w:rPr>
        <w:t>This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association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was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made</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view</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high</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prevalence</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overweight</w:t>
      </w:r>
      <w:proofErr w:type="spellEnd"/>
      <w:r w:rsidRPr="009E1104">
        <w:rPr>
          <w:rFonts w:ascii="Times New Roman" w:hAnsi="Times New Roman"/>
          <w:sz w:val="24"/>
          <w:szCs w:val="24"/>
        </w:rPr>
        <w:t xml:space="preserve"> and </w:t>
      </w:r>
      <w:proofErr w:type="spellStart"/>
      <w:r w:rsidRPr="009E1104">
        <w:rPr>
          <w:rFonts w:ascii="Times New Roman" w:hAnsi="Times New Roman"/>
          <w:sz w:val="24"/>
          <w:szCs w:val="24"/>
        </w:rPr>
        <w:t>obesity</w:t>
      </w:r>
      <w:proofErr w:type="spellEnd"/>
      <w:r w:rsidRPr="009E1104">
        <w:rPr>
          <w:rFonts w:ascii="Times New Roman" w:hAnsi="Times New Roman"/>
          <w:sz w:val="24"/>
          <w:szCs w:val="24"/>
        </w:rPr>
        <w:t xml:space="preserve"> in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population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studied</w:t>
      </w:r>
      <w:proofErr w:type="spellEnd"/>
      <w:r w:rsidR="00624812" w:rsidRPr="00907D8E">
        <w:rPr>
          <w:rFonts w:ascii="Times New Roman" w:hAnsi="Times New Roman"/>
          <w:sz w:val="24"/>
          <w:szCs w:val="24"/>
        </w:rPr>
        <w:t>.</w:t>
      </w:r>
    </w:p>
    <w:p w14:paraId="75C25DC2" w14:textId="3A574514" w:rsidR="00C45509" w:rsidRPr="0005570F" w:rsidRDefault="009E1104" w:rsidP="00C45509">
      <w:pPr>
        <w:spacing w:line="360" w:lineRule="auto"/>
        <w:ind w:firstLine="708"/>
        <w:jc w:val="both"/>
        <w:rPr>
          <w:rFonts w:ascii="Times New Roman" w:hAnsi="Times New Roman"/>
          <w:sz w:val="24"/>
          <w:szCs w:val="24"/>
        </w:rPr>
      </w:pPr>
      <w:proofErr w:type="spellStart"/>
      <w:r w:rsidRPr="009E1104">
        <w:rPr>
          <w:rFonts w:ascii="Times New Roman" w:hAnsi="Times New Roman"/>
          <w:sz w:val="24"/>
          <w:szCs w:val="24"/>
        </w:rPr>
        <w:t>Studies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have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shown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that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the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average</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exercise</w:t>
      </w:r>
      <w:proofErr w:type="spellEnd"/>
      <w:r w:rsidRPr="009E1104">
        <w:rPr>
          <w:rFonts w:ascii="Times New Roman" w:hAnsi="Times New Roman"/>
          <w:sz w:val="24"/>
          <w:szCs w:val="24"/>
        </w:rPr>
        <w:t xml:space="preserve"> performance </w:t>
      </w:r>
      <w:proofErr w:type="spellStart"/>
      <w:r w:rsidRPr="009E1104">
        <w:rPr>
          <w:rFonts w:ascii="Times New Roman" w:hAnsi="Times New Roman"/>
          <w:sz w:val="24"/>
          <w:szCs w:val="24"/>
        </w:rPr>
        <w:t>among</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women</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different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ages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increases</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with</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an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education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program</w:t>
      </w:r>
      <w:proofErr w:type="spellEnd"/>
      <w:r w:rsidRPr="009E1104">
        <w:rPr>
          <w:rFonts w:ascii="Times New Roman" w:hAnsi="Times New Roman"/>
          <w:sz w:val="24"/>
          <w:szCs w:val="24"/>
        </w:rPr>
        <w:t xml:space="preserve"> </w:t>
      </w:r>
      <w:r w:rsidR="00C45509" w:rsidRPr="0005570F">
        <w:rPr>
          <w:rFonts w:ascii="Times New Roman" w:hAnsi="Times New Roman"/>
          <w:sz w:val="24"/>
          <w:szCs w:val="24"/>
        </w:rPr>
        <w:fldChar w:fldCharType="begin"/>
      </w:r>
      <w:r w:rsidR="00C45509" w:rsidRPr="0005570F">
        <w:rPr>
          <w:rFonts w:ascii="Times New Roman" w:hAnsi="Times New Roman"/>
          <w:sz w:val="24"/>
          <w:szCs w:val="24"/>
        </w:rPr>
        <w:instrText xml:space="preserve"> ADDIN EN.CITE &lt;EndNote&gt;&lt;Cite&gt;&lt;Author&gt;Kılıç&lt;/Author&gt;&lt;Year&gt;2007&lt;/Year&gt;&lt;RecNum&gt;5&lt;/RecNum&gt;&lt;DisplayText&gt;&lt;style face="superscript" font="Times New Roman"&gt;(39, 40)&lt;/style&gt;&lt;/DisplayText&gt;&lt;record&gt;&lt;rec-number&gt;5&lt;/rec-number&gt;&lt;foreign-keys&gt;&lt;key app="EN" db-id="tdaef2xzyrd9t3e5xvops22tpspddvfxa0sv" timestamp="1578799004"&gt;5&lt;/key&gt;&lt;/foreign-keys&gt;&lt;ref-type name="Journal Article"&gt;17&lt;/ref-type&gt;&lt;contributors&gt;&lt;authors&gt;&lt;author&gt;Kılıç, Dilek&lt;/author&gt;&lt;author&gt;Erci, Behice&lt;/author&gt;&lt;/authors&gt;&lt;/contributors&gt;&lt;titles&gt;&lt;title&gt;&lt;style face="normal" font="default" size="100%"&gt;Premenopozal Dönemdeki Kadinlara Verilen E&lt;/style&gt;&lt;style face="normal" font="default" charset="162" size="100%"&gt;ğitimin Osteoporoza Ilişkin Sağlik Inançlari Ve Bilgi Düzeylerine Etkisi&lt;/style&gt;&lt;/title&gt;&lt;secondary-title&gt;Anadolu Hemşirelik ve Sağlık Bilimleri Dergisi&lt;/secondary-title&gt;&lt;/titles&gt;&lt;periodical&gt;&lt;full-title&gt;Anadolu Hemşirelik ve Sağlık Bilimleri Dergisi&lt;/full-title&gt;&lt;/periodical&gt;&lt;pages&gt;34-44&lt;/pages&gt;&lt;volume&gt;10&lt;/volume&gt;&lt;number&gt;3&lt;/number&gt;&lt;dates&gt;&lt;year&gt;2007&lt;/year&gt;&lt;/dates&gt;&lt;isbn&gt;1309-5471&lt;/isbn&gt;&lt;urls&gt;&lt;/urls&gt;&lt;/record&gt;&lt;/Cite&gt;&lt;Cite&gt;&lt;Author&gt;Hidarnia&lt;/Author&gt;&lt;Year&gt;2016&lt;/Year&gt;&lt;RecNum&gt;6&lt;/RecNum&gt;&lt;record&gt;&lt;rec-number&gt;6&lt;/rec-number&gt;&lt;foreign-keys&gt;&lt;key app="EN" db-id="tdaef2xzyrd9t3e5xvops22tpspddvfxa0sv" timestamp="1578801082"&gt;6&lt;/key&gt;&lt;/foreign-keys&gt;&lt;ref-type name="Journal Article"&gt;17&lt;/ref-type&gt;&lt;contributors&gt;&lt;authors&gt;&lt;author&gt;Hidarnia, Alireza&lt;/author&gt;&lt;author&gt;Kashfi, Seyyd Mansour&lt;/author&gt;&lt;author&gt;Ghasemi, Afsaneh&lt;/author&gt;&lt;author&gt;Askari, Alireza&lt;/author&gt;&lt;/authors&gt;&lt;/contributors&gt;&lt;titles&gt;&lt;title&gt;A Health Promotion Program based on the Health Belief Model regarding Women’s Osteoporosis&lt;/title&gt;&lt;secondary-title&gt;International Journal of Musculoskeletal Pain Prevention&lt;/secondary-title&gt;&lt;/titles&gt;&lt;periodical&gt;&lt;full-title&gt;International Journal of Musculoskeletal Pain Prevention&lt;/full-title&gt;&lt;/periodical&gt;&lt;pages&gt;7-16&lt;/pages&gt;&lt;volume&gt;1&lt;/volume&gt;&lt;number&gt;1&lt;/number&gt;&lt;dates&gt;&lt;year&gt;2016&lt;/year&gt;&lt;/dates&gt;&lt;urls&gt;&lt;/urls&gt;&lt;/record&gt;&lt;/Cite&gt;&lt;/EndNote&gt;</w:instrText>
      </w:r>
      <w:r w:rsidR="00C45509" w:rsidRPr="0005570F">
        <w:rPr>
          <w:rFonts w:ascii="Times New Roman" w:hAnsi="Times New Roman"/>
          <w:sz w:val="24"/>
          <w:szCs w:val="24"/>
        </w:rPr>
        <w:fldChar w:fldCharType="separate"/>
      </w:r>
      <w:r w:rsidR="00C45509" w:rsidRPr="0005570F">
        <w:rPr>
          <w:rFonts w:ascii="Times New Roman" w:hAnsi="Times New Roman"/>
          <w:noProof/>
          <w:sz w:val="24"/>
          <w:szCs w:val="24"/>
          <w:vertAlign w:val="superscript"/>
        </w:rPr>
        <w:t>(39, 40)</w:t>
      </w:r>
      <w:r w:rsidR="00C45509" w:rsidRPr="0005570F">
        <w:rPr>
          <w:rFonts w:ascii="Times New Roman" w:hAnsi="Times New Roman"/>
          <w:sz w:val="24"/>
          <w:szCs w:val="24"/>
        </w:rPr>
        <w:fldChar w:fldCharType="end"/>
      </w:r>
      <w:r w:rsidR="00C45509" w:rsidRPr="0005570F">
        <w:rPr>
          <w:rFonts w:ascii="Times New Roman" w:hAnsi="Times New Roman"/>
          <w:sz w:val="24"/>
          <w:szCs w:val="24"/>
        </w:rPr>
        <w:t xml:space="preserve"> </w:t>
      </w:r>
      <w:proofErr w:type="spellStart"/>
      <w:r w:rsidRPr="009E1104">
        <w:rPr>
          <w:rFonts w:ascii="Times New Roman" w:hAnsi="Times New Roman"/>
          <w:sz w:val="24"/>
          <w:szCs w:val="24"/>
        </w:rPr>
        <w:t>or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level</w:t>
      </w:r>
      <w:proofErr w:type="spellEnd"/>
      <w:r w:rsidRPr="009E1104">
        <w:rPr>
          <w:rFonts w:ascii="Times New Roman" w:hAnsi="Times New Roman"/>
          <w:sz w:val="24"/>
          <w:szCs w:val="24"/>
        </w:rPr>
        <w:t xml:space="preserve"> of </w:t>
      </w:r>
      <w:proofErr w:type="spellStart"/>
      <w:r w:rsidRPr="009E1104">
        <w:rPr>
          <w:rFonts w:ascii="Times New Roman" w:hAnsi="Times New Roman"/>
          <w:sz w:val="24"/>
          <w:szCs w:val="24"/>
        </w:rPr>
        <w:t>education</w:t>
      </w:r>
      <w:proofErr w:type="spellEnd"/>
      <w:r w:rsidRPr="009E1104">
        <w:rPr>
          <w:rFonts w:ascii="Times New Roman" w:hAnsi="Times New Roman"/>
          <w:sz w:val="24"/>
          <w:szCs w:val="24"/>
        </w:rPr>
        <w:t xml:space="preserve"> </w:t>
      </w:r>
      <w:r w:rsidR="00C45509" w:rsidRPr="0005570F">
        <w:rPr>
          <w:rFonts w:ascii="Times New Roman" w:hAnsi="Times New Roman"/>
          <w:sz w:val="24"/>
          <w:szCs w:val="24"/>
        </w:rPr>
        <w:fldChar w:fldCharType="begin"/>
      </w:r>
      <w:r w:rsidR="00C45509" w:rsidRPr="0005570F">
        <w:rPr>
          <w:rFonts w:ascii="Times New Roman" w:hAnsi="Times New Roman"/>
          <w:sz w:val="24"/>
          <w:szCs w:val="24"/>
        </w:rPr>
        <w:instrText xml:space="preserve"> ADDIN EN.CITE &lt;EndNote&gt;&lt;Cite&gt;&lt;Author&gt;AlKasseh&lt;/Author&gt;&lt;Year&gt;2013&lt;/Year&gt;&lt;RecNum&gt;4&lt;/RecNum&gt;&lt;DisplayText&gt;&lt;style face="superscript" font="Times New Roman"&gt;(41)&lt;/style&gt;&lt;/DisplayText&gt;&lt;record&gt;&lt;rec-number&gt;4&lt;/rec-number&gt;&lt;foreign-keys&gt;&lt;key app="EN" db-id="tdaef2xzyrd9t3e5xvops22tpspddvfxa0sv" timestamp="1578798381"&gt;4&lt;/key&gt;&lt;/foreign-keys&gt;&lt;ref-type name="Journal Article"&gt;17&lt;/ref-type&gt;&lt;contributors&gt;&lt;authors&gt;&lt;author&gt;AlKasseh, ASM&lt;/author&gt;&lt;author&gt;Zaki, NM&lt;/author&gt;&lt;author&gt;Aljeesh, Yousef I&lt;/author&gt;&lt;author&gt;Soon, LK&lt;/author&gt;&lt;/authors&gt;&lt;/contributors&gt;&lt;titles&gt;&lt;title&gt;Risk factors of gestational diabetes mellitus in the refugee population in Gaza Strip: a case--control study&lt;/title&gt;&lt;secondary-title&gt;Risk factors of gestational diabetes mellitus in the refugee population in Gaza Strip: a case--control study.&lt;/secondary-title&gt;&lt;/titles&gt;&lt;periodical&gt;&lt;full-title&gt;Risk factors of gestational diabetes mellitus in the refugee population in Gaza Strip: a case--control study.&lt;/full-title&gt;&lt;/periodical&gt;&lt;volume&gt;19&lt;/volume&gt;&lt;dates&gt;&lt;year&gt;2013&lt;/year&gt;&lt;/dates&gt;&lt;urls&gt;&lt;/urls&gt;&lt;/record&gt;&lt;/Cite&gt;&lt;/EndNote&gt;</w:instrText>
      </w:r>
      <w:r w:rsidR="00C45509" w:rsidRPr="0005570F">
        <w:rPr>
          <w:rFonts w:ascii="Times New Roman" w:hAnsi="Times New Roman"/>
          <w:sz w:val="24"/>
          <w:szCs w:val="24"/>
        </w:rPr>
        <w:fldChar w:fldCharType="separate"/>
      </w:r>
      <w:r w:rsidR="00C45509" w:rsidRPr="0005570F">
        <w:rPr>
          <w:rFonts w:ascii="Times New Roman" w:hAnsi="Times New Roman"/>
          <w:noProof/>
          <w:sz w:val="24"/>
          <w:szCs w:val="24"/>
          <w:vertAlign w:val="superscript"/>
        </w:rPr>
        <w:t>(41)</w:t>
      </w:r>
      <w:r w:rsidR="00C45509" w:rsidRPr="0005570F">
        <w:rPr>
          <w:rFonts w:ascii="Times New Roman" w:hAnsi="Times New Roman"/>
          <w:sz w:val="24"/>
          <w:szCs w:val="24"/>
        </w:rPr>
        <w:fldChar w:fldCharType="end"/>
      </w:r>
      <w:r w:rsidR="00C45509" w:rsidRPr="0005570F">
        <w:rPr>
          <w:rFonts w:ascii="Times New Roman" w:hAnsi="Times New Roman"/>
          <w:sz w:val="24"/>
          <w:szCs w:val="24"/>
        </w:rPr>
        <w:t xml:space="preserve">.  </w:t>
      </w:r>
      <w:proofErr w:type="spellStart"/>
      <w:r w:rsidRPr="009E1104">
        <w:rPr>
          <w:rFonts w:ascii="Times New Roman" w:hAnsi="Times New Roman"/>
          <w:sz w:val="24"/>
          <w:szCs w:val="24"/>
        </w:rPr>
        <w:t>Evidence</w:t>
      </w:r>
      <w:proofErr w:type="spellEnd"/>
      <w:r w:rsidRPr="009E1104">
        <w:rPr>
          <w:rFonts w:ascii="Times New Roman" w:hAnsi="Times New Roman"/>
          <w:sz w:val="24"/>
          <w:szCs w:val="24"/>
        </w:rPr>
        <w:t xml:space="preserve"> shows </w:t>
      </w:r>
      <w:proofErr w:type="spellStart"/>
      <w:r w:rsidRPr="009E1104">
        <w:rPr>
          <w:rFonts w:ascii="Times New Roman" w:hAnsi="Times New Roman"/>
          <w:sz w:val="24"/>
          <w:szCs w:val="24"/>
        </w:rPr>
        <w:t>that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overweight</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women</w:t>
      </w:r>
      <w:proofErr w:type="spellEnd"/>
      <w:r w:rsidRPr="009E1104">
        <w:rPr>
          <w:rFonts w:ascii="Times New Roman" w:hAnsi="Times New Roman"/>
          <w:sz w:val="24"/>
          <w:szCs w:val="24"/>
        </w:rPr>
        <w:t xml:space="preserve"> induce a </w:t>
      </w:r>
      <w:proofErr w:type="spellStart"/>
      <w:r w:rsidRPr="009E1104">
        <w:rPr>
          <w:rFonts w:ascii="Times New Roman" w:hAnsi="Times New Roman"/>
          <w:sz w:val="24"/>
          <w:szCs w:val="24"/>
        </w:rPr>
        <w:t>higher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percentage</w:t>
      </w:r>
      <w:proofErr w:type="spellEnd"/>
      <w:r w:rsidRPr="009E1104">
        <w:rPr>
          <w:rFonts w:ascii="Times New Roman" w:hAnsi="Times New Roman"/>
          <w:sz w:val="24"/>
          <w:szCs w:val="24"/>
        </w:rPr>
        <w:t xml:space="preserve"> of osteopenia and osteoporosis </w:t>
      </w:r>
      <w:proofErr w:type="spellStart"/>
      <w:r w:rsidRPr="009E1104">
        <w:rPr>
          <w:rFonts w:ascii="Times New Roman" w:hAnsi="Times New Roman"/>
          <w:sz w:val="24"/>
          <w:szCs w:val="24"/>
        </w:rPr>
        <w:t>compared</w:t>
      </w:r>
      <w:proofErr w:type="spellEnd"/>
      <w:r w:rsidRPr="009E1104">
        <w:rPr>
          <w:rFonts w:ascii="Times New Roman" w:hAnsi="Times New Roman"/>
          <w:sz w:val="24"/>
          <w:szCs w:val="24"/>
        </w:rPr>
        <w:t xml:space="preserve"> to </w:t>
      </w:r>
      <w:proofErr w:type="spellStart"/>
      <w:r w:rsidRPr="009E1104">
        <w:rPr>
          <w:rFonts w:ascii="Times New Roman" w:hAnsi="Times New Roman"/>
          <w:sz w:val="24"/>
          <w:szCs w:val="24"/>
        </w:rPr>
        <w:t>women</w:t>
      </w:r>
      <w:proofErr w:type="spellEnd"/>
      <w:r w:rsidRPr="009E1104">
        <w:rPr>
          <w:rFonts w:ascii="Times New Roman" w:hAnsi="Times New Roman"/>
          <w:sz w:val="24"/>
          <w:szCs w:val="24"/>
        </w:rPr>
        <w:t xml:space="preserve"> of normal </w:t>
      </w:r>
      <w:proofErr w:type="spellStart"/>
      <w:r w:rsidRPr="009E1104">
        <w:rPr>
          <w:rFonts w:ascii="Times New Roman" w:hAnsi="Times New Roman"/>
          <w:sz w:val="24"/>
          <w:szCs w:val="24"/>
        </w:rPr>
        <w:t>weight</w:t>
      </w:r>
      <w:proofErr w:type="spellEnd"/>
      <w:r w:rsidR="00AB63A7">
        <w:rPr>
          <w:rFonts w:ascii="Times New Roman" w:hAnsi="Times New Roman"/>
          <w:sz w:val="24"/>
          <w:szCs w:val="24"/>
        </w:rPr>
        <w:t>;</w:t>
      </w:r>
      <w:r w:rsidR="00C45509" w:rsidRPr="0005570F">
        <w:rPr>
          <w:rFonts w:ascii="Times New Roman" w:hAnsi="Times New Roman"/>
          <w:sz w:val="24"/>
          <w:szCs w:val="24"/>
        </w:rPr>
        <w:fldChar w:fldCharType="begin"/>
      </w:r>
      <w:r w:rsidR="00C45509" w:rsidRPr="0005570F">
        <w:rPr>
          <w:rFonts w:ascii="Times New Roman" w:hAnsi="Times New Roman"/>
          <w:sz w:val="24"/>
          <w:szCs w:val="24"/>
        </w:rPr>
        <w:instrText xml:space="preserve"> ADDIN EN.CITE &lt;EndNote&gt;&lt;Cite&gt;&lt;Author&gt;Mex&lt;/Author&gt;&lt;Year&gt;2014&lt;/Year&gt;&lt;RecNum&gt;30&lt;/RecNum&gt;&lt;DisplayText&gt;&lt;style face="superscript" font="Times New Roman"&gt;(42)&lt;/style&gt;&lt;/DisplayText&gt;&lt;record&gt;&lt;rec-number&gt;30&lt;/rec-number&gt;&lt;foreign-keys&gt;&lt;key app="EN" db-id="tdaef2xzyrd9t3e5xvops22tpspddvfxa0sv" timestamp="1578889404"&gt;30&lt;/key&gt;&lt;/foreign-keys&gt;&lt;ref-type name="Journal Article"&gt;17&lt;/ref-type&gt;&lt;contributors&gt;&lt;authors&gt;&lt;author&gt;Mex, Ginecol Obstet&lt;/author&gt;&lt;/authors&gt;&lt;/contributors&gt;&lt;titles&gt;&lt;title&gt;Prevalencia de osteopenia y osteoporosis en mujeres posmenopáusicas y su relación con factores de riesgo&lt;/title&gt;&lt;secondary-title&gt;Ginecol Obstet Mex&lt;/secondary-title&gt;&lt;/titles&gt;&lt;periodical&gt;&lt;full-title&gt;Ginecol Obstet Mex&lt;/full-title&gt;&lt;/periodical&gt;&lt;pages&gt;223-228&lt;/pages&gt;&lt;volume&gt;82&lt;/volume&gt;&lt;dates&gt;&lt;year&gt;2014&lt;/year&gt;&lt;/dates&gt;&lt;urls&gt;&lt;/urls&gt;&lt;/record&gt;&lt;/Cite&gt;&lt;/EndNote&gt;</w:instrText>
      </w:r>
      <w:r w:rsidR="00C45509" w:rsidRPr="0005570F">
        <w:rPr>
          <w:rFonts w:ascii="Times New Roman" w:hAnsi="Times New Roman"/>
          <w:sz w:val="24"/>
          <w:szCs w:val="24"/>
        </w:rPr>
        <w:fldChar w:fldCharType="separate"/>
      </w:r>
      <w:r w:rsidR="00C45509" w:rsidRPr="0005570F">
        <w:rPr>
          <w:rFonts w:ascii="Times New Roman" w:hAnsi="Times New Roman"/>
          <w:noProof/>
          <w:sz w:val="24"/>
          <w:szCs w:val="24"/>
          <w:vertAlign w:val="superscript"/>
        </w:rPr>
        <w:t>(42)</w:t>
      </w:r>
      <w:r w:rsidR="00C45509" w:rsidRPr="0005570F">
        <w:rPr>
          <w:rFonts w:ascii="Times New Roman" w:hAnsi="Times New Roman"/>
          <w:sz w:val="24"/>
          <w:szCs w:val="24"/>
        </w:rPr>
        <w:fldChar w:fldCharType="end"/>
      </w:r>
      <w:r w:rsidR="00C45509" w:rsidRPr="0005570F">
        <w:rPr>
          <w:rFonts w:ascii="Times New Roman" w:hAnsi="Times New Roman"/>
          <w:sz w:val="24"/>
          <w:szCs w:val="24"/>
        </w:rPr>
        <w:t xml:space="preserve"> </w:t>
      </w:r>
      <w:r w:rsidRPr="009E1104">
        <w:rPr>
          <w:rFonts w:ascii="Times New Roman" w:hAnsi="Times New Roman"/>
          <w:sz w:val="24"/>
          <w:szCs w:val="24"/>
        </w:rPr>
        <w:t xml:space="preserve">similar to </w:t>
      </w:r>
      <w:proofErr w:type="spellStart"/>
      <w:r w:rsidRPr="009E1104">
        <w:rPr>
          <w:rFonts w:ascii="Times New Roman" w:hAnsi="Times New Roman"/>
          <w:sz w:val="24"/>
          <w:szCs w:val="24"/>
        </w:rPr>
        <w:t>other</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Peruvian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studies</w:t>
      </w:r>
      <w:proofErr w:type="spellEnd"/>
      <w:r w:rsidR="00C45509" w:rsidRPr="0005570F">
        <w:rPr>
          <w:rFonts w:ascii="Times New Roman" w:hAnsi="Times New Roman"/>
          <w:sz w:val="24"/>
          <w:szCs w:val="24"/>
        </w:rPr>
        <w:fldChar w:fldCharType="begin"/>
      </w:r>
      <w:r w:rsidR="00C45509" w:rsidRPr="0005570F">
        <w:rPr>
          <w:rFonts w:ascii="Times New Roman" w:hAnsi="Times New Roman"/>
          <w:sz w:val="24"/>
          <w:szCs w:val="24"/>
        </w:rPr>
        <w:instrText xml:space="preserve"> ADDIN EN.CITE &lt;EndNote&gt;&lt;Cite&gt;&lt;Author&gt;Sánchez&lt;/Author&gt;&lt;Year&gt;2017&lt;/Year&gt;&lt;RecNum&gt;27&lt;/RecNum&gt;&lt;DisplayText&gt;&lt;style face="superscript" font="Times New Roman"&gt;(7)&lt;/style&gt;&lt;/DisplayText&gt;&lt;record&gt;&lt;rec-number&gt;27&lt;/rec-number&gt;&lt;foreign-keys&gt;&lt;key app="EN" db-id="tdaef2xzyrd9t3e5xvops22tpspddvfxa0sv" timestamp="1578883934"&gt;27&lt;/key&gt;&lt;/foreign-keys&gt;&lt;ref-type name="Journal Article"&gt;17&lt;/ref-type&gt;&lt;contributors&gt;&lt;authors&gt;&lt;author&gt;Sánchez, Relicario&lt;/author&gt;&lt;author&gt;Miluzka, Grecia&lt;/author&gt;&lt;/authors&gt;&lt;/contributors&gt;&lt;titles&gt;&lt;title&gt;Prevalencia de osteoporosis en mujeres mayores de 50 años evaluadas por densitometría ósea&lt;/title&gt;&lt;/titles&gt;&lt;dates&gt;&lt;year&gt;2017&lt;/year&gt;&lt;/dates&gt;&lt;urls&gt;&lt;/urls&gt;&lt;/record&gt;&lt;/Cite&gt;&lt;/EndNote&gt;</w:instrText>
      </w:r>
      <w:r w:rsidR="00C45509" w:rsidRPr="0005570F">
        <w:rPr>
          <w:rFonts w:ascii="Times New Roman" w:hAnsi="Times New Roman"/>
          <w:sz w:val="24"/>
          <w:szCs w:val="24"/>
        </w:rPr>
        <w:fldChar w:fldCharType="separate"/>
      </w:r>
      <w:r w:rsidR="00C45509" w:rsidRPr="0005570F">
        <w:rPr>
          <w:rFonts w:ascii="Times New Roman" w:hAnsi="Times New Roman"/>
          <w:noProof/>
          <w:sz w:val="24"/>
          <w:szCs w:val="24"/>
          <w:vertAlign w:val="superscript"/>
        </w:rPr>
        <w:t>(7)</w:t>
      </w:r>
      <w:r w:rsidR="00C45509" w:rsidRPr="0005570F">
        <w:rPr>
          <w:rFonts w:ascii="Times New Roman" w:hAnsi="Times New Roman"/>
          <w:sz w:val="24"/>
          <w:szCs w:val="24"/>
        </w:rPr>
        <w:fldChar w:fldCharType="end"/>
      </w:r>
      <w:r w:rsidR="00613B2E">
        <w:rPr>
          <w:rFonts w:ascii="Times New Roman" w:hAnsi="Times New Roman"/>
          <w:sz w:val="24"/>
          <w:szCs w:val="24"/>
        </w:rPr>
        <w:t xml:space="preserve"> </w:t>
      </w:r>
      <w:r w:rsidRPr="009E1104">
        <w:rPr>
          <w:rFonts w:ascii="Times New Roman" w:hAnsi="Times New Roman"/>
          <w:sz w:val="24"/>
          <w:szCs w:val="24"/>
        </w:rPr>
        <w:t xml:space="preserve">as </w:t>
      </w:r>
      <w:proofErr w:type="spellStart"/>
      <w:r w:rsidRPr="009E1104">
        <w:rPr>
          <w:rFonts w:ascii="Times New Roman" w:hAnsi="Times New Roman"/>
          <w:sz w:val="24"/>
          <w:szCs w:val="24"/>
        </w:rPr>
        <w:t>demonstrated</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by</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Ylachoque</w:t>
      </w:r>
      <w:proofErr w:type="spellEnd"/>
      <w:r w:rsidR="00AB63A7">
        <w:rPr>
          <w:rFonts w:ascii="Times New Roman" w:hAnsi="Times New Roman"/>
          <w:sz w:val="24"/>
          <w:szCs w:val="24"/>
        </w:rPr>
        <w:t>.</w:t>
      </w:r>
      <w:r w:rsidR="00613B2E">
        <w:rPr>
          <w:rFonts w:ascii="Times New Roman" w:hAnsi="Times New Roman"/>
          <w:noProof/>
          <w:sz w:val="24"/>
          <w:szCs w:val="24"/>
          <w:vertAlign w:val="superscript"/>
        </w:rPr>
        <w:t>(38)</w:t>
      </w:r>
    </w:p>
    <w:p w14:paraId="50C329AE" w14:textId="77777777" w:rsidR="009E1104" w:rsidRDefault="00C45509" w:rsidP="00380630">
      <w:pPr>
        <w:rPr>
          <w:rFonts w:ascii="Times New Roman" w:hAnsi="Times New Roman"/>
          <w:bCs/>
          <w:i/>
          <w:iCs/>
          <w:sz w:val="24"/>
          <w:szCs w:val="24"/>
        </w:rPr>
      </w:pPr>
      <w:bookmarkStart w:id="8" w:name="_Toc31132735"/>
      <w:proofErr w:type="spellStart"/>
      <w:r w:rsidRPr="009E1104">
        <w:rPr>
          <w:rFonts w:ascii="Times New Roman" w:hAnsi="Times New Roman"/>
          <w:b/>
          <w:bCs/>
          <w:iCs/>
          <w:sz w:val="24"/>
          <w:szCs w:val="24"/>
        </w:rPr>
        <w:t>Tabl</w:t>
      </w:r>
      <w:r w:rsidR="009E1104" w:rsidRPr="009E1104">
        <w:rPr>
          <w:rFonts w:ascii="Times New Roman" w:hAnsi="Times New Roman"/>
          <w:b/>
          <w:bCs/>
          <w:iCs/>
          <w:sz w:val="24"/>
          <w:szCs w:val="24"/>
        </w:rPr>
        <w:t>e</w:t>
      </w:r>
      <w:proofErr w:type="spellEnd"/>
      <w:r w:rsidRPr="009E1104">
        <w:rPr>
          <w:rFonts w:ascii="Times New Roman" w:hAnsi="Times New Roman"/>
          <w:b/>
          <w:bCs/>
          <w:iCs/>
          <w:sz w:val="24"/>
          <w:szCs w:val="24"/>
        </w:rPr>
        <w:t xml:space="preserve"> </w:t>
      </w:r>
      <w:r w:rsidR="003A5DB6" w:rsidRPr="009E1104">
        <w:rPr>
          <w:rFonts w:ascii="Times New Roman" w:hAnsi="Times New Roman"/>
          <w:b/>
          <w:bCs/>
          <w:iCs/>
          <w:sz w:val="24"/>
          <w:szCs w:val="24"/>
        </w:rPr>
        <w:t>8</w:t>
      </w:r>
      <w:r w:rsidR="00A36673" w:rsidRPr="009E1104">
        <w:rPr>
          <w:rFonts w:ascii="Times New Roman" w:hAnsi="Times New Roman"/>
          <w:bCs/>
          <w:i/>
          <w:iCs/>
          <w:sz w:val="24"/>
          <w:szCs w:val="24"/>
        </w:rPr>
        <w:t xml:space="preserve"> </w:t>
      </w:r>
      <w:bookmarkEnd w:id="8"/>
    </w:p>
    <w:p w14:paraId="3C93E2DF" w14:textId="6EE48B5C" w:rsidR="00C45509" w:rsidRPr="00CE4512" w:rsidRDefault="009E1104" w:rsidP="00380630">
      <w:pPr>
        <w:rPr>
          <w:rFonts w:ascii="Times New Roman" w:hAnsi="Times New Roman"/>
          <w:i/>
          <w:sz w:val="24"/>
          <w:szCs w:val="24"/>
        </w:rPr>
      </w:pPr>
      <w:proofErr w:type="spellStart"/>
      <w:r w:rsidRPr="009E1104">
        <w:rPr>
          <w:rFonts w:ascii="Times New Roman" w:hAnsi="Times New Roman"/>
          <w:bCs/>
          <w:i/>
          <w:iCs/>
          <w:sz w:val="24"/>
          <w:szCs w:val="24"/>
        </w:rPr>
        <w:t>Relationship</w:t>
      </w:r>
      <w:proofErr w:type="spellEnd"/>
      <w:r w:rsidRPr="009E1104">
        <w:rPr>
          <w:rFonts w:ascii="Times New Roman" w:hAnsi="Times New Roman"/>
          <w:bCs/>
          <w:i/>
          <w:iCs/>
          <w:sz w:val="24"/>
          <w:szCs w:val="24"/>
        </w:rPr>
        <w:t xml:space="preserve"> </w:t>
      </w:r>
      <w:proofErr w:type="spellStart"/>
      <w:r w:rsidRPr="009E1104">
        <w:rPr>
          <w:rFonts w:ascii="Times New Roman" w:hAnsi="Times New Roman"/>
          <w:bCs/>
          <w:i/>
          <w:iCs/>
          <w:sz w:val="24"/>
          <w:szCs w:val="24"/>
        </w:rPr>
        <w:t>between</w:t>
      </w:r>
      <w:proofErr w:type="spellEnd"/>
      <w:r w:rsidRPr="009E1104">
        <w:rPr>
          <w:rFonts w:ascii="Times New Roman" w:hAnsi="Times New Roman"/>
          <w:bCs/>
          <w:i/>
          <w:iCs/>
          <w:sz w:val="24"/>
          <w:szCs w:val="24"/>
        </w:rPr>
        <w:t xml:space="preserve"> osteoporosis and </w:t>
      </w:r>
      <w:proofErr w:type="spellStart"/>
      <w:r w:rsidRPr="009E1104">
        <w:rPr>
          <w:rFonts w:ascii="Times New Roman" w:hAnsi="Times New Roman"/>
          <w:bCs/>
          <w:i/>
          <w:iCs/>
          <w:sz w:val="24"/>
          <w:szCs w:val="24"/>
        </w:rPr>
        <w:t>decalcification</w:t>
      </w:r>
      <w:proofErr w:type="spellEnd"/>
      <w:r w:rsidRPr="009E1104">
        <w:rPr>
          <w:rFonts w:ascii="Times New Roman" w:hAnsi="Times New Roman"/>
          <w:bCs/>
          <w:i/>
          <w:iCs/>
          <w:sz w:val="24"/>
          <w:szCs w:val="24"/>
        </w:rPr>
        <w:t xml:space="preserve"> </w:t>
      </w:r>
      <w:proofErr w:type="spellStart"/>
      <w:r w:rsidRPr="009E1104">
        <w:rPr>
          <w:rFonts w:ascii="Times New Roman" w:hAnsi="Times New Roman"/>
          <w:bCs/>
          <w:i/>
          <w:iCs/>
          <w:sz w:val="24"/>
          <w:szCs w:val="24"/>
        </w:rPr>
        <w:t>knowledge</w:t>
      </w:r>
      <w:proofErr w:type="spellEnd"/>
      <w:r w:rsidRPr="009E1104">
        <w:rPr>
          <w:rFonts w:ascii="Times New Roman" w:hAnsi="Times New Roman"/>
          <w:bCs/>
          <w:i/>
          <w:iCs/>
          <w:sz w:val="24"/>
          <w:szCs w:val="24"/>
        </w:rPr>
        <w:t>.</w:t>
      </w:r>
    </w:p>
    <w:tbl>
      <w:tblPr>
        <w:tblW w:w="5240" w:type="dxa"/>
        <w:jc w:val="center"/>
        <w:tblBorders>
          <w:top w:val="single" w:sz="4" w:space="0" w:color="auto"/>
        </w:tblBorders>
        <w:tblLayout w:type="fixed"/>
        <w:tblCellMar>
          <w:left w:w="93" w:type="dxa"/>
          <w:right w:w="93" w:type="dxa"/>
        </w:tblCellMar>
        <w:tblLook w:val="0000" w:firstRow="0" w:lastRow="0" w:firstColumn="0" w:lastColumn="0" w:noHBand="0" w:noVBand="0"/>
      </w:tblPr>
      <w:tblGrid>
        <w:gridCol w:w="1887"/>
        <w:gridCol w:w="2102"/>
        <w:gridCol w:w="1251"/>
      </w:tblGrid>
      <w:tr w:rsidR="00C45509" w:rsidRPr="00CE4512" w14:paraId="2ECABD61" w14:textId="77777777" w:rsidTr="00B370C1">
        <w:trPr>
          <w:trHeight w:val="273"/>
          <w:jc w:val="center"/>
        </w:trPr>
        <w:tc>
          <w:tcPr>
            <w:tcW w:w="1887" w:type="dxa"/>
            <w:tcBorders>
              <w:bottom w:val="single" w:sz="4" w:space="0" w:color="auto"/>
            </w:tcBorders>
            <w:shd w:val="clear" w:color="000000" w:fill="FFFFFF"/>
          </w:tcPr>
          <w:p w14:paraId="1073678C"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bottom w:val="single" w:sz="4" w:space="0" w:color="auto"/>
            </w:tcBorders>
            <w:shd w:val="clear" w:color="000000" w:fill="FFFFFF"/>
          </w:tcPr>
          <w:p w14:paraId="365813DE"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1251" w:type="dxa"/>
            <w:tcBorders>
              <w:bottom w:val="single" w:sz="4" w:space="0" w:color="auto"/>
            </w:tcBorders>
            <w:shd w:val="clear" w:color="000000" w:fill="FFFFFF"/>
            <w:vAlign w:val="center"/>
          </w:tcPr>
          <w:p w14:paraId="6BFEF35A"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IMC</w:t>
            </w:r>
          </w:p>
        </w:tc>
      </w:tr>
      <w:tr w:rsidR="00C45509" w:rsidRPr="00CE4512" w14:paraId="08865BF3" w14:textId="77777777" w:rsidTr="00B370C1">
        <w:trPr>
          <w:trHeight w:val="273"/>
          <w:jc w:val="center"/>
        </w:trPr>
        <w:tc>
          <w:tcPr>
            <w:tcW w:w="1887" w:type="dxa"/>
            <w:tcBorders>
              <w:top w:val="single" w:sz="4" w:space="0" w:color="auto"/>
            </w:tcBorders>
            <w:shd w:val="clear" w:color="000000" w:fill="FFFFFF"/>
            <w:vAlign w:val="center"/>
          </w:tcPr>
          <w:p w14:paraId="32D00B7B" w14:textId="51D35FC4" w:rsidR="00C45509" w:rsidRPr="00CE4512" w:rsidRDefault="009E1104" w:rsidP="00C45509">
            <w:pPr>
              <w:autoSpaceDE w:val="0"/>
              <w:autoSpaceDN w:val="0"/>
              <w:adjustRightInd w:val="0"/>
              <w:spacing w:line="240" w:lineRule="auto"/>
              <w:jc w:val="right"/>
              <w:rPr>
                <w:rFonts w:ascii="Times New Roman" w:hAnsi="Times New Roman"/>
                <w:sz w:val="24"/>
                <w:szCs w:val="24"/>
              </w:rPr>
            </w:pPr>
            <w:proofErr w:type="spellStart"/>
            <w:r w:rsidRPr="009E1104">
              <w:rPr>
                <w:rFonts w:ascii="Times New Roman" w:hAnsi="Times New Roman"/>
                <w:sz w:val="24"/>
                <w:szCs w:val="24"/>
              </w:rPr>
              <w:t>Decalcification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Knowledge</w:t>
            </w:r>
            <w:proofErr w:type="spellEnd"/>
          </w:p>
        </w:tc>
        <w:tc>
          <w:tcPr>
            <w:tcW w:w="2102" w:type="dxa"/>
            <w:tcBorders>
              <w:top w:val="single" w:sz="4" w:space="0" w:color="auto"/>
            </w:tcBorders>
            <w:shd w:val="clear" w:color="000000" w:fill="FFFFFF"/>
          </w:tcPr>
          <w:p w14:paraId="1591C97C" w14:textId="77777777" w:rsidR="009E1104" w:rsidRPr="009E1104"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Correlation</w:t>
            </w:r>
            <w:proofErr w:type="spellEnd"/>
            <w:r w:rsidRPr="009E1104">
              <w:rPr>
                <w:rFonts w:ascii="Times New Roman" w:hAnsi="Times New Roman"/>
                <w:sz w:val="24"/>
                <w:szCs w:val="24"/>
              </w:rPr>
              <w:t xml:space="preserve"> </w:t>
            </w:r>
            <w:proofErr w:type="spellStart"/>
            <w:r w:rsidRPr="009E1104">
              <w:rPr>
                <w:rFonts w:ascii="Times New Roman" w:hAnsi="Times New Roman"/>
                <w:sz w:val="24"/>
                <w:szCs w:val="24"/>
              </w:rPr>
              <w:t>coefficient</w:t>
            </w:r>
            <w:proofErr w:type="spellEnd"/>
          </w:p>
          <w:p w14:paraId="48D17D74" w14:textId="14EB5DDC" w:rsidR="00C45509" w:rsidRPr="00CE4512" w:rsidRDefault="009E1104" w:rsidP="009E1104">
            <w:pPr>
              <w:autoSpaceDE w:val="0"/>
              <w:autoSpaceDN w:val="0"/>
              <w:adjustRightInd w:val="0"/>
              <w:spacing w:after="0" w:line="240" w:lineRule="auto"/>
              <w:rPr>
                <w:rFonts w:ascii="Times New Roman" w:hAnsi="Times New Roman"/>
                <w:sz w:val="24"/>
                <w:szCs w:val="24"/>
              </w:rPr>
            </w:pPr>
            <w:proofErr w:type="spellStart"/>
            <w:r w:rsidRPr="009E1104">
              <w:rPr>
                <w:rFonts w:ascii="Times New Roman" w:hAnsi="Times New Roman"/>
                <w:sz w:val="24"/>
                <w:szCs w:val="24"/>
              </w:rPr>
              <w:t>Spearman's</w:t>
            </w:r>
            <w:proofErr w:type="spellEnd"/>
            <w:r w:rsidRPr="009E1104">
              <w:rPr>
                <w:rFonts w:ascii="Times New Roman" w:hAnsi="Times New Roman"/>
                <w:sz w:val="24"/>
                <w:szCs w:val="24"/>
              </w:rPr>
              <w:t xml:space="preserve"> Rho</w:t>
            </w:r>
          </w:p>
        </w:tc>
        <w:tc>
          <w:tcPr>
            <w:tcW w:w="1251" w:type="dxa"/>
            <w:tcBorders>
              <w:top w:val="single" w:sz="4" w:space="0" w:color="auto"/>
            </w:tcBorders>
            <w:shd w:val="clear" w:color="000000" w:fill="FFFFFF"/>
            <w:vAlign w:val="center"/>
          </w:tcPr>
          <w:p w14:paraId="27C69672"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0.085</w:t>
            </w:r>
          </w:p>
        </w:tc>
      </w:tr>
      <w:tr w:rsidR="00C45509" w:rsidRPr="00CE4512" w14:paraId="11865188" w14:textId="77777777" w:rsidTr="00B370C1">
        <w:trPr>
          <w:trHeight w:val="273"/>
          <w:jc w:val="center"/>
        </w:trPr>
        <w:tc>
          <w:tcPr>
            <w:tcW w:w="1887" w:type="dxa"/>
            <w:tcBorders>
              <w:top w:val="nil"/>
            </w:tcBorders>
            <w:shd w:val="clear" w:color="000000" w:fill="FFFFFF"/>
          </w:tcPr>
          <w:p w14:paraId="25822629"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top w:val="nil"/>
            </w:tcBorders>
            <w:shd w:val="clear" w:color="000000" w:fill="FFFFFF"/>
          </w:tcPr>
          <w:p w14:paraId="0CFEC52B" w14:textId="77777777" w:rsidR="00C45509" w:rsidRPr="00CE4512" w:rsidRDefault="00C45509" w:rsidP="00C45509">
            <w:pPr>
              <w:autoSpaceDE w:val="0"/>
              <w:autoSpaceDN w:val="0"/>
              <w:adjustRightInd w:val="0"/>
              <w:spacing w:line="240" w:lineRule="auto"/>
              <w:rPr>
                <w:rFonts w:ascii="Times New Roman" w:hAnsi="Times New Roman"/>
                <w:sz w:val="24"/>
                <w:szCs w:val="24"/>
              </w:rPr>
            </w:pPr>
            <w:r w:rsidRPr="00CE4512">
              <w:rPr>
                <w:rFonts w:ascii="Times New Roman" w:hAnsi="Times New Roman"/>
                <w:sz w:val="24"/>
                <w:szCs w:val="24"/>
              </w:rPr>
              <w:t>Sig. (2-tailed)</w:t>
            </w:r>
          </w:p>
        </w:tc>
        <w:tc>
          <w:tcPr>
            <w:tcW w:w="1251" w:type="dxa"/>
            <w:tcBorders>
              <w:top w:val="nil"/>
            </w:tcBorders>
            <w:shd w:val="clear" w:color="000000" w:fill="FFFFFF"/>
            <w:vAlign w:val="center"/>
          </w:tcPr>
          <w:p w14:paraId="24DEC708"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0.390</w:t>
            </w:r>
          </w:p>
        </w:tc>
      </w:tr>
      <w:tr w:rsidR="00C45509" w:rsidRPr="00CE4512" w14:paraId="1589F702" w14:textId="77777777" w:rsidTr="00B370C1">
        <w:trPr>
          <w:trHeight w:val="253"/>
          <w:jc w:val="center"/>
        </w:trPr>
        <w:tc>
          <w:tcPr>
            <w:tcW w:w="1887" w:type="dxa"/>
            <w:tcBorders>
              <w:top w:val="nil"/>
              <w:bottom w:val="single" w:sz="4" w:space="0" w:color="auto"/>
            </w:tcBorders>
            <w:shd w:val="clear" w:color="000000" w:fill="FFFFFF"/>
          </w:tcPr>
          <w:p w14:paraId="68F276CA" w14:textId="77777777" w:rsidR="00C45509" w:rsidRPr="00CE4512" w:rsidRDefault="00C45509" w:rsidP="00C45509">
            <w:pPr>
              <w:autoSpaceDE w:val="0"/>
              <w:autoSpaceDN w:val="0"/>
              <w:adjustRightInd w:val="0"/>
              <w:spacing w:line="240" w:lineRule="auto"/>
              <w:rPr>
                <w:rFonts w:ascii="Times New Roman" w:hAnsi="Times New Roman"/>
                <w:sz w:val="24"/>
                <w:szCs w:val="24"/>
              </w:rPr>
            </w:pPr>
          </w:p>
        </w:tc>
        <w:tc>
          <w:tcPr>
            <w:tcW w:w="2102" w:type="dxa"/>
            <w:tcBorders>
              <w:top w:val="nil"/>
              <w:bottom w:val="single" w:sz="4" w:space="0" w:color="auto"/>
            </w:tcBorders>
            <w:shd w:val="clear" w:color="000000" w:fill="FFFFFF"/>
          </w:tcPr>
          <w:p w14:paraId="38C41FEA" w14:textId="77777777" w:rsidR="00C45509" w:rsidRPr="00CE4512" w:rsidRDefault="00C45509" w:rsidP="00C45509">
            <w:pPr>
              <w:autoSpaceDE w:val="0"/>
              <w:autoSpaceDN w:val="0"/>
              <w:adjustRightInd w:val="0"/>
              <w:spacing w:line="240" w:lineRule="auto"/>
              <w:rPr>
                <w:rFonts w:ascii="Times New Roman" w:hAnsi="Times New Roman"/>
                <w:sz w:val="24"/>
                <w:szCs w:val="24"/>
              </w:rPr>
            </w:pPr>
            <w:r w:rsidRPr="00CE4512">
              <w:rPr>
                <w:rFonts w:ascii="Times New Roman" w:hAnsi="Times New Roman"/>
                <w:sz w:val="24"/>
                <w:szCs w:val="24"/>
              </w:rPr>
              <w:t>N</w:t>
            </w:r>
          </w:p>
        </w:tc>
        <w:tc>
          <w:tcPr>
            <w:tcW w:w="1251" w:type="dxa"/>
            <w:tcBorders>
              <w:top w:val="nil"/>
              <w:bottom w:val="single" w:sz="4" w:space="0" w:color="auto"/>
            </w:tcBorders>
            <w:shd w:val="clear" w:color="000000" w:fill="FFFFFF"/>
            <w:vAlign w:val="center"/>
          </w:tcPr>
          <w:p w14:paraId="57092980" w14:textId="77777777" w:rsidR="00C45509" w:rsidRPr="00CE4512" w:rsidRDefault="00C45509" w:rsidP="00C45509">
            <w:pPr>
              <w:autoSpaceDE w:val="0"/>
              <w:autoSpaceDN w:val="0"/>
              <w:adjustRightInd w:val="0"/>
              <w:spacing w:line="240" w:lineRule="auto"/>
              <w:jc w:val="right"/>
              <w:rPr>
                <w:rFonts w:ascii="Times New Roman" w:hAnsi="Times New Roman"/>
                <w:sz w:val="24"/>
                <w:szCs w:val="24"/>
              </w:rPr>
            </w:pPr>
            <w:r w:rsidRPr="00CE4512">
              <w:rPr>
                <w:rFonts w:ascii="Times New Roman" w:hAnsi="Times New Roman"/>
                <w:sz w:val="24"/>
                <w:szCs w:val="24"/>
              </w:rPr>
              <w:t>104</w:t>
            </w:r>
          </w:p>
        </w:tc>
      </w:tr>
    </w:tbl>
    <w:p w14:paraId="68D5C398" w14:textId="7F061422" w:rsidR="00C45509" w:rsidRPr="00CE4512" w:rsidRDefault="003A5DB6" w:rsidP="00624812">
      <w:pPr>
        <w:autoSpaceDE w:val="0"/>
        <w:autoSpaceDN w:val="0"/>
        <w:adjustRightInd w:val="0"/>
        <w:spacing w:line="360" w:lineRule="auto"/>
        <w:jc w:val="center"/>
        <w:rPr>
          <w:rFonts w:ascii="Times New Roman" w:hAnsi="Times New Roman"/>
          <w:sz w:val="24"/>
          <w:szCs w:val="24"/>
        </w:rPr>
      </w:pPr>
      <w:r w:rsidRPr="00CE4512">
        <w:rPr>
          <w:rFonts w:ascii="Times New Roman" w:hAnsi="Times New Roman"/>
          <w:sz w:val="24"/>
          <w:szCs w:val="24"/>
        </w:rPr>
        <w:t xml:space="preserve">** </w:t>
      </w:r>
      <w:proofErr w:type="spellStart"/>
      <w:r w:rsidR="009E1104" w:rsidRPr="009E1104">
        <w:rPr>
          <w:rFonts w:ascii="Times New Roman" w:hAnsi="Times New Roman"/>
          <w:sz w:val="24"/>
          <w:szCs w:val="24"/>
        </w:rPr>
        <w:t>The</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correlation</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is</w:t>
      </w:r>
      <w:proofErr w:type="spellEnd"/>
      <w:r w:rsidR="009E1104" w:rsidRPr="009E1104">
        <w:rPr>
          <w:rFonts w:ascii="Times New Roman" w:hAnsi="Times New Roman"/>
          <w:sz w:val="24"/>
          <w:szCs w:val="24"/>
        </w:rPr>
        <w:t xml:space="preserve"> </w:t>
      </w:r>
      <w:proofErr w:type="spellStart"/>
      <w:r w:rsidR="009E1104" w:rsidRPr="009E1104">
        <w:rPr>
          <w:rFonts w:ascii="Times New Roman" w:hAnsi="Times New Roman"/>
          <w:sz w:val="24"/>
          <w:szCs w:val="24"/>
        </w:rPr>
        <w:t>significant</w:t>
      </w:r>
      <w:proofErr w:type="spellEnd"/>
      <w:r w:rsidR="009E1104" w:rsidRPr="009E1104">
        <w:rPr>
          <w:rFonts w:ascii="Times New Roman" w:hAnsi="Times New Roman"/>
          <w:sz w:val="24"/>
          <w:szCs w:val="24"/>
        </w:rPr>
        <w:t xml:space="preserve"> at </w:t>
      </w:r>
      <w:proofErr w:type="spellStart"/>
      <w:r w:rsidR="009E1104" w:rsidRPr="009E1104">
        <w:rPr>
          <w:rFonts w:ascii="Times New Roman" w:hAnsi="Times New Roman"/>
          <w:sz w:val="24"/>
          <w:szCs w:val="24"/>
        </w:rPr>
        <w:t>the</w:t>
      </w:r>
      <w:proofErr w:type="spellEnd"/>
      <w:r w:rsidR="009E1104" w:rsidRPr="009E1104">
        <w:rPr>
          <w:rFonts w:ascii="Times New Roman" w:hAnsi="Times New Roman"/>
          <w:sz w:val="24"/>
          <w:szCs w:val="24"/>
        </w:rPr>
        <w:t xml:space="preserve"> 0.05 </w:t>
      </w:r>
      <w:proofErr w:type="spellStart"/>
      <w:r w:rsidR="009E1104" w:rsidRPr="009E1104">
        <w:rPr>
          <w:rFonts w:ascii="Times New Roman" w:hAnsi="Times New Roman"/>
          <w:sz w:val="24"/>
          <w:szCs w:val="24"/>
        </w:rPr>
        <w:t>level</w:t>
      </w:r>
      <w:proofErr w:type="spellEnd"/>
      <w:r w:rsidR="009E1104" w:rsidRPr="009E1104">
        <w:rPr>
          <w:rFonts w:ascii="Times New Roman" w:hAnsi="Times New Roman"/>
          <w:sz w:val="24"/>
          <w:szCs w:val="24"/>
        </w:rPr>
        <w:t xml:space="preserve"> (2-tailed).</w:t>
      </w:r>
    </w:p>
    <w:p w14:paraId="6BBD7D13" w14:textId="1088588B" w:rsidR="00C45509" w:rsidRPr="00CE4512" w:rsidRDefault="009E1104" w:rsidP="009E1104">
      <w:pPr>
        <w:pStyle w:val="NormalWeb"/>
        <w:spacing w:before="0" w:beforeAutospacing="0" w:after="0" w:afterAutospacing="0" w:line="360" w:lineRule="auto"/>
        <w:ind w:firstLine="708"/>
        <w:jc w:val="both"/>
      </w:pPr>
      <w:proofErr w:type="spellStart"/>
      <w:r w:rsidRPr="009E1104">
        <w:t>Table</w:t>
      </w:r>
      <w:proofErr w:type="spellEnd"/>
      <w:r w:rsidRPr="009E1104">
        <w:t xml:space="preserve"> 8 shows </w:t>
      </w:r>
      <w:proofErr w:type="spellStart"/>
      <w:r w:rsidRPr="009E1104">
        <w:t>the</w:t>
      </w:r>
      <w:proofErr w:type="spellEnd"/>
      <w:r w:rsidRPr="009E1104">
        <w:t xml:space="preserve"> </w:t>
      </w:r>
      <w:proofErr w:type="spellStart"/>
      <w:r w:rsidRPr="009E1104">
        <w:t>value</w:t>
      </w:r>
      <w:proofErr w:type="spellEnd"/>
      <w:r w:rsidRPr="009E1104">
        <w:t xml:space="preserve"> of </w:t>
      </w:r>
      <w:proofErr w:type="spellStart"/>
      <w:r w:rsidRPr="009E1104">
        <w:t>Spearman's</w:t>
      </w:r>
      <w:proofErr w:type="spellEnd"/>
      <w:r w:rsidRPr="009E1104">
        <w:t xml:space="preserve"> </w:t>
      </w:r>
      <w:proofErr w:type="spellStart"/>
      <w:r w:rsidRPr="009E1104">
        <w:t>correlation</w:t>
      </w:r>
      <w:proofErr w:type="spellEnd"/>
      <w:r w:rsidRPr="009E1104">
        <w:t xml:space="preserve"> </w:t>
      </w:r>
      <w:proofErr w:type="spellStart"/>
      <w:r w:rsidRPr="009E1104">
        <w:t>coefficient</w:t>
      </w:r>
      <w:proofErr w:type="spellEnd"/>
      <w:r w:rsidR="00624812" w:rsidRPr="00CE4512">
        <w:t xml:space="preserve"> (rho=-0.085)</w:t>
      </w:r>
      <w:r w:rsidR="00624812" w:rsidRPr="00CE4512">
        <w:rPr>
          <w:noProof/>
          <w:vertAlign w:val="superscript"/>
        </w:rPr>
        <w:t xml:space="preserve"> (43)</w:t>
      </w:r>
      <w:r w:rsidR="00624812" w:rsidRPr="00CE4512">
        <w:t xml:space="preserve"> </w:t>
      </w:r>
      <w:proofErr w:type="spellStart"/>
      <w:r w:rsidRPr="009E1104">
        <w:t>little</w:t>
      </w:r>
      <w:proofErr w:type="spellEnd"/>
      <w:r w:rsidRPr="009E1104">
        <w:t xml:space="preserve"> </w:t>
      </w:r>
      <w:proofErr w:type="spellStart"/>
      <w:r w:rsidRPr="009E1104">
        <w:t>or</w:t>
      </w:r>
      <w:proofErr w:type="spellEnd"/>
      <w:r w:rsidRPr="009E1104">
        <w:t xml:space="preserve"> no </w:t>
      </w:r>
      <w:proofErr w:type="spellStart"/>
      <w:r w:rsidRPr="009E1104">
        <w:t>relationship</w:t>
      </w:r>
      <w:proofErr w:type="spellEnd"/>
      <w:r w:rsidRPr="009E1104">
        <w:t xml:space="preserve"> </w:t>
      </w:r>
      <w:proofErr w:type="spellStart"/>
      <w:r w:rsidRPr="009E1104">
        <w:t>between</w:t>
      </w:r>
      <w:proofErr w:type="spellEnd"/>
      <w:r w:rsidRPr="009E1104">
        <w:t xml:space="preserve"> </w:t>
      </w:r>
      <w:proofErr w:type="spellStart"/>
      <w:r w:rsidRPr="009E1104">
        <w:t>knowledge</w:t>
      </w:r>
      <w:proofErr w:type="spellEnd"/>
      <w:r w:rsidRPr="009E1104">
        <w:t xml:space="preserve"> of </w:t>
      </w:r>
      <w:proofErr w:type="spellStart"/>
      <w:r w:rsidRPr="009E1104">
        <w:t>decalcification</w:t>
      </w:r>
      <w:proofErr w:type="spellEnd"/>
      <w:r w:rsidRPr="009E1104">
        <w:t xml:space="preserve"> and osteoporosis, </w:t>
      </w:r>
      <w:proofErr w:type="spellStart"/>
      <w:r w:rsidRPr="009E1104">
        <w:t>but</w:t>
      </w:r>
      <w:proofErr w:type="spellEnd"/>
      <w:r w:rsidRPr="009E1104">
        <w:t xml:space="preserve"> </w:t>
      </w:r>
      <w:proofErr w:type="spellStart"/>
      <w:r w:rsidRPr="009E1104">
        <w:t>significant</w:t>
      </w:r>
      <w:proofErr w:type="spellEnd"/>
      <w:r w:rsidRPr="009E1104">
        <w:t xml:space="preserve"> </w:t>
      </w:r>
      <w:r w:rsidR="00624812" w:rsidRPr="00CE4512">
        <w:t>( p= 0.390)</w:t>
      </w:r>
      <w:r w:rsidR="00592820" w:rsidRPr="00CE4512">
        <w:t>.</w:t>
      </w:r>
    </w:p>
    <w:p w14:paraId="4E1CF93A" w14:textId="48921557" w:rsidR="00EC36B2" w:rsidRPr="00CE4512" w:rsidRDefault="00EC36B2" w:rsidP="00C45509">
      <w:pPr>
        <w:pStyle w:val="NormalWeb"/>
        <w:spacing w:before="0" w:beforeAutospacing="0" w:after="0" w:afterAutospacing="0"/>
        <w:jc w:val="both"/>
      </w:pPr>
    </w:p>
    <w:p w14:paraId="09D99A67" w14:textId="59B98B82" w:rsidR="00380630" w:rsidRPr="00CE4512" w:rsidRDefault="00CE4512" w:rsidP="00B370C1">
      <w:pPr>
        <w:pStyle w:val="NormalWeb"/>
        <w:spacing w:before="0" w:beforeAutospacing="0" w:after="0" w:afterAutospacing="0"/>
        <w:jc w:val="both"/>
        <w:rPr>
          <w:b/>
          <w:bCs/>
        </w:rPr>
      </w:pPr>
      <w:proofErr w:type="spellStart"/>
      <w:r>
        <w:rPr>
          <w:b/>
          <w:bCs/>
        </w:rPr>
        <w:t>C</w:t>
      </w:r>
      <w:r w:rsidR="003C616A" w:rsidRPr="00CE4512">
        <w:rPr>
          <w:b/>
          <w:bCs/>
        </w:rPr>
        <w:t>onclusions</w:t>
      </w:r>
      <w:proofErr w:type="spellEnd"/>
    </w:p>
    <w:p w14:paraId="4C73929F" w14:textId="08CCAC24" w:rsidR="00592820" w:rsidRPr="00CE4512" w:rsidRDefault="00592820" w:rsidP="00B370C1">
      <w:pPr>
        <w:pStyle w:val="NormalWeb"/>
        <w:spacing w:before="0" w:beforeAutospacing="0" w:after="0" w:afterAutospacing="0"/>
        <w:jc w:val="both"/>
      </w:pPr>
    </w:p>
    <w:p w14:paraId="1F30F1E7" w14:textId="5E4DB71F" w:rsidR="003C616A" w:rsidRPr="003555FA" w:rsidRDefault="009E1104" w:rsidP="00CE4512">
      <w:pPr>
        <w:pStyle w:val="NormalWeb"/>
        <w:spacing w:before="0" w:beforeAutospacing="0" w:after="0" w:afterAutospacing="0" w:line="360" w:lineRule="auto"/>
        <w:jc w:val="both"/>
      </w:pPr>
      <w:proofErr w:type="spellStart"/>
      <w:r w:rsidRPr="009E1104">
        <w:t>The</w:t>
      </w:r>
      <w:proofErr w:type="spellEnd"/>
      <w:r w:rsidRPr="009E1104">
        <w:t xml:space="preserve"> </w:t>
      </w:r>
      <w:proofErr w:type="spellStart"/>
      <w:r w:rsidRPr="009E1104">
        <w:t>population</w:t>
      </w:r>
      <w:proofErr w:type="spellEnd"/>
      <w:r w:rsidRPr="009E1104">
        <w:t xml:space="preserve"> </w:t>
      </w:r>
      <w:proofErr w:type="spellStart"/>
      <w:r w:rsidRPr="009E1104">
        <w:t>studied</w:t>
      </w:r>
      <w:proofErr w:type="spellEnd"/>
      <w:r w:rsidRPr="009E1104">
        <w:t xml:space="preserve"> </w:t>
      </w:r>
      <w:proofErr w:type="spellStart"/>
      <w:r w:rsidRPr="009E1104">
        <w:t>was</w:t>
      </w:r>
      <w:proofErr w:type="spellEnd"/>
      <w:r w:rsidRPr="009E1104">
        <w:t xml:space="preserve"> </w:t>
      </w:r>
      <w:proofErr w:type="spellStart"/>
      <w:r w:rsidRPr="009E1104">
        <w:t>characterized</w:t>
      </w:r>
      <w:proofErr w:type="spellEnd"/>
      <w:r w:rsidRPr="009E1104">
        <w:t xml:space="preserve"> </w:t>
      </w:r>
      <w:proofErr w:type="spellStart"/>
      <w:r w:rsidRPr="009E1104">
        <w:t>by</w:t>
      </w:r>
      <w:proofErr w:type="spellEnd"/>
      <w:r w:rsidRPr="009E1104">
        <w:t xml:space="preserve"> 55.76% </w:t>
      </w:r>
      <w:proofErr w:type="spellStart"/>
      <w:r w:rsidRPr="009E1104">
        <w:t>overweight</w:t>
      </w:r>
      <w:proofErr w:type="spellEnd"/>
      <w:r w:rsidRPr="009E1104">
        <w:t xml:space="preserve"> and 7.71% </w:t>
      </w:r>
      <w:proofErr w:type="spellStart"/>
      <w:r w:rsidRPr="009E1104">
        <w:t>obes</w:t>
      </w:r>
      <w:r w:rsidR="00AB63A7">
        <w:t>e</w:t>
      </w:r>
      <w:proofErr w:type="spellEnd"/>
      <w:r w:rsidRPr="009E1104">
        <w:t xml:space="preserve">. </w:t>
      </w:r>
      <w:proofErr w:type="spellStart"/>
      <w:r w:rsidRPr="009E1104">
        <w:t>Among</w:t>
      </w:r>
      <w:proofErr w:type="spellEnd"/>
      <w:r w:rsidRPr="009E1104">
        <w:t xml:space="preserve"> </w:t>
      </w:r>
      <w:proofErr w:type="spellStart"/>
      <w:r w:rsidRPr="009E1104">
        <w:t>the</w:t>
      </w:r>
      <w:proofErr w:type="spellEnd"/>
      <w:r w:rsidRPr="009E1104">
        <w:t xml:space="preserve"> </w:t>
      </w:r>
      <w:proofErr w:type="spellStart"/>
      <w:r w:rsidRPr="009E1104">
        <w:t>main</w:t>
      </w:r>
      <w:proofErr w:type="spellEnd"/>
      <w:r w:rsidRPr="009E1104">
        <w:t xml:space="preserve"> </w:t>
      </w:r>
      <w:proofErr w:type="spellStart"/>
      <w:r w:rsidRPr="009E1104">
        <w:t>antecedents</w:t>
      </w:r>
      <w:proofErr w:type="spellEnd"/>
      <w:r w:rsidRPr="009E1104">
        <w:t xml:space="preserve">, fractures (19.23%) in </w:t>
      </w:r>
      <w:proofErr w:type="spellStart"/>
      <w:r w:rsidRPr="009E1104">
        <w:t>the</w:t>
      </w:r>
      <w:proofErr w:type="spellEnd"/>
      <w:r w:rsidRPr="009E1104">
        <w:t xml:space="preserve"> </w:t>
      </w:r>
      <w:proofErr w:type="spellStart"/>
      <w:r w:rsidRPr="009E1104">
        <w:t>participants</w:t>
      </w:r>
      <w:proofErr w:type="spellEnd"/>
      <w:r w:rsidRPr="009E1104">
        <w:t xml:space="preserve"> and of </w:t>
      </w:r>
      <w:proofErr w:type="spellStart"/>
      <w:r w:rsidRPr="009E1104">
        <w:t>their</w:t>
      </w:r>
      <w:proofErr w:type="spellEnd"/>
      <w:r w:rsidRPr="009E1104">
        <w:t xml:space="preserve"> </w:t>
      </w:r>
      <w:proofErr w:type="spellStart"/>
      <w:r w:rsidRPr="009E1104">
        <w:t>parents</w:t>
      </w:r>
      <w:proofErr w:type="spellEnd"/>
      <w:r w:rsidRPr="009E1104">
        <w:t xml:space="preserve"> (5.77%) stand </w:t>
      </w:r>
      <w:proofErr w:type="spellStart"/>
      <w:r w:rsidRPr="009E1104">
        <w:t>out</w:t>
      </w:r>
      <w:proofErr w:type="spellEnd"/>
      <w:r w:rsidRPr="009E1104">
        <w:t xml:space="preserve">, as </w:t>
      </w:r>
      <w:proofErr w:type="spellStart"/>
      <w:r w:rsidRPr="009E1104">
        <w:t>well</w:t>
      </w:r>
      <w:proofErr w:type="spellEnd"/>
      <w:r w:rsidRPr="009E1104">
        <w:t xml:space="preserve"> as </w:t>
      </w:r>
      <w:proofErr w:type="spellStart"/>
      <w:r w:rsidRPr="009E1104">
        <w:t>the</w:t>
      </w:r>
      <w:proofErr w:type="spellEnd"/>
      <w:r w:rsidRPr="009E1104">
        <w:t xml:space="preserve"> use of </w:t>
      </w:r>
      <w:proofErr w:type="spellStart"/>
      <w:r w:rsidRPr="009E1104">
        <w:t>glucocorticoids</w:t>
      </w:r>
      <w:proofErr w:type="spellEnd"/>
      <w:r w:rsidRPr="009E1104">
        <w:t xml:space="preserve"> and </w:t>
      </w:r>
      <w:proofErr w:type="spellStart"/>
      <w:r w:rsidRPr="009E1104">
        <w:t>an</w:t>
      </w:r>
      <w:proofErr w:type="spellEnd"/>
      <w:r w:rsidRPr="009E1104">
        <w:t xml:space="preserve"> </w:t>
      </w:r>
      <w:proofErr w:type="spellStart"/>
      <w:r w:rsidRPr="009E1104">
        <w:t>average</w:t>
      </w:r>
      <w:proofErr w:type="spellEnd"/>
      <w:r w:rsidRPr="009E1104">
        <w:t xml:space="preserve"> </w:t>
      </w:r>
      <w:proofErr w:type="spellStart"/>
      <w:r w:rsidRPr="009E1104">
        <w:t>age</w:t>
      </w:r>
      <w:proofErr w:type="spellEnd"/>
      <w:r w:rsidRPr="009E1104">
        <w:t xml:space="preserve"> of 55 </w:t>
      </w:r>
      <w:proofErr w:type="spellStart"/>
      <w:r w:rsidRPr="009E1104">
        <w:t>years</w:t>
      </w:r>
      <w:proofErr w:type="spellEnd"/>
      <w:r w:rsidRPr="009E1104">
        <w:t xml:space="preserve"> </w:t>
      </w:r>
      <w:proofErr w:type="spellStart"/>
      <w:r w:rsidRPr="009E1104">
        <w:t>old</w:t>
      </w:r>
      <w:proofErr w:type="spellEnd"/>
      <w:r w:rsidRPr="009E1104">
        <w:t xml:space="preserve">. As </w:t>
      </w:r>
      <w:proofErr w:type="spellStart"/>
      <w:r w:rsidRPr="009E1104">
        <w:t>for</w:t>
      </w:r>
      <w:proofErr w:type="spellEnd"/>
      <w:r w:rsidRPr="009E1104">
        <w:t xml:space="preserve"> </w:t>
      </w:r>
      <w:proofErr w:type="spellStart"/>
      <w:r w:rsidRPr="009E1104">
        <w:t>knowledge</w:t>
      </w:r>
      <w:proofErr w:type="spellEnd"/>
      <w:r w:rsidR="00AB63A7">
        <w:t>,</w:t>
      </w:r>
      <w:r w:rsidRPr="009E1104">
        <w:t xml:space="preserve"> 59.62% of </w:t>
      </w:r>
      <w:proofErr w:type="spellStart"/>
      <w:r w:rsidRPr="009E1104">
        <w:t>respondents</w:t>
      </w:r>
      <w:proofErr w:type="spellEnd"/>
      <w:r w:rsidRPr="009E1104">
        <w:t xml:space="preserve"> </w:t>
      </w:r>
      <w:proofErr w:type="spellStart"/>
      <w:r w:rsidRPr="009E1104">
        <w:t>said</w:t>
      </w:r>
      <w:proofErr w:type="spellEnd"/>
      <w:r w:rsidRPr="009E1104">
        <w:t xml:space="preserve"> </w:t>
      </w:r>
      <w:proofErr w:type="spellStart"/>
      <w:r w:rsidRPr="009E1104">
        <w:t>they</w:t>
      </w:r>
      <w:proofErr w:type="spellEnd"/>
      <w:r w:rsidRPr="009E1104">
        <w:t xml:space="preserve"> </w:t>
      </w:r>
      <w:proofErr w:type="spellStart"/>
      <w:r w:rsidRPr="009E1104">
        <w:t>had</w:t>
      </w:r>
      <w:proofErr w:type="spellEnd"/>
      <w:r w:rsidRPr="009E1104">
        <w:t xml:space="preserve"> </w:t>
      </w:r>
      <w:proofErr w:type="spellStart"/>
      <w:r w:rsidRPr="009E1104">
        <w:t>medium</w:t>
      </w:r>
      <w:proofErr w:type="spellEnd"/>
      <w:r w:rsidRPr="009E1104">
        <w:t xml:space="preserve"> </w:t>
      </w:r>
      <w:proofErr w:type="spellStart"/>
      <w:r w:rsidRPr="009E1104">
        <w:t>knowledge</w:t>
      </w:r>
      <w:proofErr w:type="spellEnd"/>
      <w:r w:rsidRPr="009E1104">
        <w:t xml:space="preserve"> of </w:t>
      </w:r>
      <w:proofErr w:type="spellStart"/>
      <w:r w:rsidRPr="009E1104">
        <w:t>bone</w:t>
      </w:r>
      <w:proofErr w:type="spellEnd"/>
      <w:r w:rsidRPr="009E1104">
        <w:t xml:space="preserve"> </w:t>
      </w:r>
      <w:proofErr w:type="spellStart"/>
      <w:r w:rsidRPr="009E1104">
        <w:t>decalcification</w:t>
      </w:r>
      <w:proofErr w:type="spellEnd"/>
      <w:r w:rsidRPr="009E1104">
        <w:t xml:space="preserve"> and (</w:t>
      </w:r>
      <w:proofErr w:type="spellStart"/>
      <w:r w:rsidRPr="009E1104">
        <w:t>there</w:t>
      </w:r>
      <w:proofErr w:type="spellEnd"/>
      <w:r w:rsidRPr="009E1104">
        <w:t xml:space="preserve"> are 19.23% and 15%) of osteoporosis. At a </w:t>
      </w:r>
      <w:proofErr w:type="spellStart"/>
      <w:r w:rsidRPr="009E1104">
        <w:t>confidence</w:t>
      </w:r>
      <w:proofErr w:type="spellEnd"/>
      <w:r w:rsidRPr="009E1104">
        <w:t xml:space="preserve"> </w:t>
      </w:r>
      <w:proofErr w:type="spellStart"/>
      <w:r w:rsidRPr="009E1104">
        <w:t>level</w:t>
      </w:r>
      <w:proofErr w:type="spellEnd"/>
      <w:r w:rsidRPr="009E1104">
        <w:t xml:space="preserve"> of 95 %, </w:t>
      </w:r>
      <w:proofErr w:type="spellStart"/>
      <w:r w:rsidRPr="009E1104">
        <w:t>the</w:t>
      </w:r>
      <w:proofErr w:type="spellEnd"/>
      <w:r w:rsidRPr="009E1104">
        <w:t xml:space="preserve"> </w:t>
      </w:r>
      <w:proofErr w:type="spellStart"/>
      <w:r w:rsidRPr="009E1104">
        <w:t>research</w:t>
      </w:r>
      <w:proofErr w:type="spellEnd"/>
      <w:r w:rsidRPr="009E1104">
        <w:t xml:space="preserve"> </w:t>
      </w:r>
      <w:proofErr w:type="spellStart"/>
      <w:r w:rsidRPr="009E1104">
        <w:t>showed</w:t>
      </w:r>
      <w:proofErr w:type="spellEnd"/>
      <w:r w:rsidRPr="009E1104">
        <w:t xml:space="preserve"> </w:t>
      </w:r>
      <w:proofErr w:type="spellStart"/>
      <w:r w:rsidRPr="009E1104">
        <w:t>that</w:t>
      </w:r>
      <w:proofErr w:type="spellEnd"/>
      <w:r w:rsidRPr="009E1104">
        <w:t xml:space="preserve"> </w:t>
      </w:r>
      <w:proofErr w:type="spellStart"/>
      <w:r w:rsidRPr="009E1104">
        <w:t>there</w:t>
      </w:r>
      <w:proofErr w:type="spellEnd"/>
      <w:r w:rsidRPr="009E1104">
        <w:t xml:space="preserve"> </w:t>
      </w:r>
      <w:proofErr w:type="spellStart"/>
      <w:r w:rsidRPr="009E1104">
        <w:t>is</w:t>
      </w:r>
      <w:proofErr w:type="spellEnd"/>
      <w:r w:rsidRPr="009E1104">
        <w:t xml:space="preserve"> a </w:t>
      </w:r>
      <w:proofErr w:type="spellStart"/>
      <w:r w:rsidRPr="009E1104">
        <w:t>significant</w:t>
      </w:r>
      <w:proofErr w:type="spellEnd"/>
      <w:r w:rsidRPr="009E1104">
        <w:t xml:space="preserve"> </w:t>
      </w:r>
      <w:proofErr w:type="spellStart"/>
      <w:r w:rsidRPr="009E1104">
        <w:t>direct</w:t>
      </w:r>
      <w:proofErr w:type="spellEnd"/>
      <w:r w:rsidRPr="009E1104">
        <w:t xml:space="preserve"> </w:t>
      </w:r>
      <w:proofErr w:type="spellStart"/>
      <w:r w:rsidRPr="009E1104">
        <w:t>correlation</w:t>
      </w:r>
      <w:proofErr w:type="spellEnd"/>
      <w:r w:rsidR="00613B2E">
        <w:t>.</w:t>
      </w:r>
    </w:p>
    <w:p w14:paraId="28AF1D54" w14:textId="77777777" w:rsidR="00CE4512" w:rsidRPr="00CE4512" w:rsidRDefault="00CE4512" w:rsidP="00CE4512">
      <w:pPr>
        <w:pStyle w:val="NormalWeb"/>
        <w:spacing w:before="0" w:beforeAutospacing="0" w:after="0" w:afterAutospacing="0" w:line="360" w:lineRule="auto"/>
        <w:jc w:val="both"/>
      </w:pPr>
    </w:p>
    <w:p w14:paraId="0B53346D" w14:textId="77777777" w:rsidR="003C616A" w:rsidRPr="00CE4512" w:rsidRDefault="003C616A" w:rsidP="00380630">
      <w:pPr>
        <w:pStyle w:val="NormalWeb"/>
        <w:spacing w:before="0" w:beforeAutospacing="0" w:after="0" w:afterAutospacing="0"/>
        <w:ind w:left="721"/>
        <w:jc w:val="both"/>
        <w:rPr>
          <w:b/>
        </w:rPr>
      </w:pPr>
    </w:p>
    <w:p w14:paraId="3B722942" w14:textId="717D3EEC" w:rsidR="0005570F" w:rsidRDefault="00A873D0" w:rsidP="00380630">
      <w:pPr>
        <w:pStyle w:val="NormalWeb"/>
        <w:spacing w:before="0" w:beforeAutospacing="0" w:after="0" w:afterAutospacing="0"/>
        <w:jc w:val="both"/>
        <w:rPr>
          <w:b/>
        </w:rPr>
      </w:pPr>
      <w:proofErr w:type="spellStart"/>
      <w:r w:rsidRPr="00CE4512">
        <w:rPr>
          <w:b/>
        </w:rPr>
        <w:t>Referenc</w:t>
      </w:r>
      <w:r w:rsidR="009E1104">
        <w:rPr>
          <w:b/>
        </w:rPr>
        <w:t>e</w:t>
      </w:r>
      <w:r w:rsidRPr="00CE4512">
        <w:rPr>
          <w:b/>
        </w:rPr>
        <w:t>s</w:t>
      </w:r>
      <w:proofErr w:type="spellEnd"/>
    </w:p>
    <w:p w14:paraId="120EF159" w14:textId="18FCF5E6" w:rsidR="00A873D0" w:rsidRPr="00CE4512" w:rsidRDefault="00A873D0" w:rsidP="00380630">
      <w:pPr>
        <w:pStyle w:val="NormalWeb"/>
        <w:spacing w:before="0" w:beforeAutospacing="0" w:after="0" w:afterAutospacing="0"/>
        <w:jc w:val="both"/>
        <w:rPr>
          <w:b/>
        </w:rPr>
      </w:pPr>
      <w:r w:rsidRPr="00CE4512">
        <w:rPr>
          <w:b/>
        </w:rPr>
        <w:lastRenderedPageBreak/>
        <w:t xml:space="preserve"> </w:t>
      </w:r>
    </w:p>
    <w:p w14:paraId="566E4B8F"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eastAsiaTheme="minorHAnsi" w:hAnsi="Times New Roman" w:cs="Times New Roman"/>
          <w:lang w:val="en-US"/>
        </w:rPr>
        <w:fldChar w:fldCharType="begin"/>
      </w:r>
      <w:r w:rsidRPr="0005570F">
        <w:rPr>
          <w:rFonts w:ascii="Times New Roman" w:hAnsi="Times New Roman" w:cs="Times New Roman"/>
        </w:rPr>
        <w:instrText xml:space="preserve"> ADDIN EN.REFLIST </w:instrText>
      </w:r>
      <w:r w:rsidRPr="0005570F">
        <w:rPr>
          <w:rFonts w:ascii="Times New Roman" w:eastAsiaTheme="minorHAnsi" w:hAnsi="Times New Roman" w:cs="Times New Roman"/>
          <w:lang w:val="en-US"/>
        </w:rPr>
        <w:fldChar w:fldCharType="separate"/>
      </w:r>
      <w:r w:rsidRPr="0005570F">
        <w:rPr>
          <w:rFonts w:ascii="Times New Roman" w:hAnsi="Times New Roman" w:cs="Times New Roman"/>
        </w:rPr>
        <w:t>1.</w:t>
      </w:r>
      <w:r w:rsidRPr="0005570F">
        <w:rPr>
          <w:rFonts w:ascii="Times New Roman" w:hAnsi="Times New Roman" w:cs="Times New Roman"/>
        </w:rPr>
        <w:tab/>
        <w:t xml:space="preserve">Zanchetta J, MacDonald S. The Latin America Regional Audit Epidemiología, costos e impacto de la osteoporosis en 2012. </w:t>
      </w:r>
      <w:r w:rsidRPr="0005570F">
        <w:rPr>
          <w:rFonts w:ascii="Times New Roman" w:hAnsi="Times New Roman" w:cs="Times New Roman"/>
          <w:lang w:val="en-US"/>
        </w:rPr>
        <w:t>International Osteoporosis Foundation. 2012:57-9.</w:t>
      </w:r>
    </w:p>
    <w:p w14:paraId="60559087" w14:textId="77777777" w:rsidR="003C616A" w:rsidRPr="005E3E2D"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2.</w:t>
      </w:r>
      <w:r w:rsidRPr="0005570F">
        <w:rPr>
          <w:rFonts w:ascii="Times New Roman" w:hAnsi="Times New Roman" w:cs="Times New Roman"/>
          <w:lang w:val="en-US"/>
        </w:rPr>
        <w:tab/>
        <w:t xml:space="preserve">Johansson H, Clark P, Carlos F, Oden A, McCloskey E, Kanis JA. Increasing age-and sex-specific rates of hip fracture in Mexico: a survey of the Mexican Institute of Social Security. </w:t>
      </w:r>
      <w:r w:rsidRPr="005E3E2D">
        <w:rPr>
          <w:rFonts w:ascii="Times New Roman" w:hAnsi="Times New Roman" w:cs="Times New Roman"/>
        </w:rPr>
        <w:t>Osteoporosis international. 2011;22(8):2359-64.</w:t>
      </w:r>
    </w:p>
    <w:p w14:paraId="4D96743E" w14:textId="03E76EF2" w:rsidR="003C616A" w:rsidRPr="002836B3" w:rsidRDefault="003C616A" w:rsidP="00592820">
      <w:pPr>
        <w:pStyle w:val="EndNoteBibliography"/>
        <w:ind w:left="567" w:hanging="567"/>
        <w:jc w:val="left"/>
        <w:rPr>
          <w:rFonts w:ascii="Times New Roman" w:hAnsi="Times New Roman" w:cs="Times New Roman"/>
        </w:rPr>
      </w:pPr>
      <w:r w:rsidRPr="002836B3">
        <w:rPr>
          <w:rFonts w:ascii="Times New Roman" w:hAnsi="Times New Roman" w:cs="Times New Roman"/>
        </w:rPr>
        <w:t>3.</w:t>
      </w:r>
      <w:r w:rsidRPr="002836B3">
        <w:rPr>
          <w:rFonts w:ascii="Times New Roman" w:hAnsi="Times New Roman" w:cs="Times New Roman"/>
        </w:rPr>
        <w:tab/>
      </w:r>
      <w:r w:rsidR="002836B3" w:rsidRPr="002836B3">
        <w:rPr>
          <w:rFonts w:ascii="Times New Roman" w:hAnsi="Times New Roman" w:cs="Times New Roman"/>
        </w:rPr>
        <w:t>Herrera Antonio,</w:t>
      </w:r>
      <w:r w:rsidR="001B42C1">
        <w:rPr>
          <w:rFonts w:ascii="Times New Roman" w:hAnsi="Times New Roman" w:cs="Times New Roman"/>
        </w:rPr>
        <w:t>2020</w:t>
      </w:r>
      <w:r w:rsidR="002836B3" w:rsidRPr="002836B3">
        <w:rPr>
          <w:rFonts w:ascii="Times New Roman" w:hAnsi="Times New Roman" w:cs="Times New Roman"/>
        </w:rPr>
        <w:t xml:space="preserve"> osteoporosis en el adulto mayor.</w:t>
      </w:r>
      <w:r w:rsidR="002836B3">
        <w:rPr>
          <w:rFonts w:ascii="Times New Roman" w:hAnsi="Times New Roman" w:cs="Times New Roman"/>
        </w:rPr>
        <w:t xml:space="preserve"> </w:t>
      </w:r>
      <w:r w:rsidR="001B42C1">
        <w:rPr>
          <w:rFonts w:ascii="Times New Roman" w:hAnsi="Times New Roman" w:cs="Times New Roman"/>
        </w:rPr>
        <w:t xml:space="preserve">Revista Medica </w:t>
      </w:r>
      <w:r w:rsidR="001B42C1" w:rsidRPr="001B42C1">
        <w:rPr>
          <w:rFonts w:ascii="Times New Roman" w:hAnsi="Times New Roman" w:cs="Times New Roman"/>
        </w:rPr>
        <w:t>https://medicalarevista.com/osteoporosis-en-el-adulto-mayor/</w:t>
      </w:r>
      <w:r w:rsidR="002836B3" w:rsidRPr="002836B3">
        <w:rPr>
          <w:rFonts w:ascii="Times New Roman" w:hAnsi="Times New Roman" w:cs="Times New Roman"/>
        </w:rPr>
        <w:t xml:space="preserve"> </w:t>
      </w:r>
      <w:r w:rsidRPr="002836B3">
        <w:rPr>
          <w:rFonts w:ascii="Times New Roman" w:hAnsi="Times New Roman" w:cs="Times New Roman"/>
        </w:rPr>
        <w:t>.</w:t>
      </w:r>
    </w:p>
    <w:p w14:paraId="1FF64944"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4.</w:t>
      </w:r>
      <w:r w:rsidRPr="0005570F">
        <w:rPr>
          <w:rFonts w:ascii="Times New Roman" w:hAnsi="Times New Roman" w:cs="Times New Roman"/>
          <w:lang w:val="en-US"/>
        </w:rPr>
        <w:tab/>
        <w:t>Garnero P. New biochemical markers of bone turnover. IBMS BoneKEy. 2008;5:84.</w:t>
      </w:r>
    </w:p>
    <w:p w14:paraId="466567E8"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5.</w:t>
      </w:r>
      <w:r w:rsidRPr="0005570F">
        <w:rPr>
          <w:rFonts w:ascii="Times New Roman" w:hAnsi="Times New Roman" w:cs="Times New Roman"/>
          <w:lang w:val="en-US"/>
        </w:rPr>
        <w:tab/>
        <w:t>Paddon-Jones D, Campbell WW, Jacques PF, Kritchevsky SB, Moore LL, Rodriguez NR, et al. Protein and healthy aging. The American journal of clinical nutrition. 2015;101(6):1339S-45S.</w:t>
      </w:r>
    </w:p>
    <w:p w14:paraId="3B4FFD95"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6.</w:t>
      </w:r>
      <w:r w:rsidRPr="0005570F">
        <w:rPr>
          <w:rFonts w:ascii="Times New Roman" w:hAnsi="Times New Roman" w:cs="Times New Roman"/>
          <w:lang w:val="en-US"/>
        </w:rPr>
        <w:tab/>
        <w:t xml:space="preserve">Abukhadir S, Mohamed N, Mohamed N. Pathogenesis of alcohol-induced osteoporosis and its treatment: a review. </w:t>
      </w:r>
      <w:r w:rsidRPr="0005570F">
        <w:rPr>
          <w:rFonts w:ascii="Times New Roman" w:hAnsi="Times New Roman" w:cs="Times New Roman"/>
        </w:rPr>
        <w:t>Current drug targets. 2013;14(13):1601-10.</w:t>
      </w:r>
    </w:p>
    <w:p w14:paraId="06C00FDB"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rPr>
        <w:t>7.</w:t>
      </w:r>
      <w:r w:rsidRPr="0005570F">
        <w:rPr>
          <w:rFonts w:ascii="Times New Roman" w:hAnsi="Times New Roman" w:cs="Times New Roman"/>
        </w:rPr>
        <w:tab/>
        <w:t xml:space="preserve">Sánchez R, Miluzka G. Prevalencia de osteoporosis en mujeres mayores de 50 años evaluadas por densitometría ósea. </w:t>
      </w:r>
      <w:r w:rsidRPr="0005570F">
        <w:rPr>
          <w:rFonts w:ascii="Times New Roman" w:hAnsi="Times New Roman" w:cs="Times New Roman"/>
          <w:lang w:val="en-US"/>
        </w:rPr>
        <w:t>2017.</w:t>
      </w:r>
    </w:p>
    <w:p w14:paraId="112CE60E"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8.</w:t>
      </w:r>
      <w:r w:rsidRPr="0005570F">
        <w:rPr>
          <w:rFonts w:ascii="Times New Roman" w:hAnsi="Times New Roman" w:cs="Times New Roman"/>
          <w:lang w:val="en-US"/>
        </w:rPr>
        <w:tab/>
        <w:t>Clark P, Cons-Molina F, Deleze M, Ragi S, Haddock L, Zanchetta J, et al. The prevalence of radiographic vertebral fractures in Latin American countries: the Latin American Vertebral Osteoporosis Study (LAVOS). Osteoporosis International. 2009;20(2):275-82.</w:t>
      </w:r>
    </w:p>
    <w:p w14:paraId="028261FC"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9.</w:t>
      </w:r>
      <w:r w:rsidRPr="0005570F">
        <w:rPr>
          <w:rFonts w:ascii="Times New Roman" w:hAnsi="Times New Roman" w:cs="Times New Roman"/>
          <w:lang w:val="en-US"/>
        </w:rPr>
        <w:tab/>
        <w:t>Bauer DC. Calcium supplements and fracture prevention. New England Journal of Medicine. 2013;369(16):1537-43.</w:t>
      </w:r>
    </w:p>
    <w:p w14:paraId="5EF5AB2E"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10.</w:t>
      </w:r>
      <w:r w:rsidRPr="0005570F">
        <w:rPr>
          <w:rFonts w:ascii="Times New Roman" w:hAnsi="Times New Roman" w:cs="Times New Roman"/>
          <w:lang w:val="en-US"/>
        </w:rPr>
        <w:tab/>
        <w:t>Rosen CJ. Postmenopausal osteoporosis. New England Journal of Medicine. 2005;353(6):595-603.</w:t>
      </w:r>
    </w:p>
    <w:p w14:paraId="11B4EB1E"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11.</w:t>
      </w:r>
      <w:r w:rsidRPr="0005570F">
        <w:rPr>
          <w:rFonts w:ascii="Times New Roman" w:hAnsi="Times New Roman" w:cs="Times New Roman"/>
          <w:lang w:val="en-US"/>
        </w:rPr>
        <w:tab/>
        <w:t>Golob AL, Laya MB. Osteoporosis: screening, prevention, and management. Medical Clinics. 2015;99(3):587-606.</w:t>
      </w:r>
    </w:p>
    <w:p w14:paraId="64AC9B7D"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12.</w:t>
      </w:r>
      <w:r w:rsidRPr="0005570F">
        <w:rPr>
          <w:rFonts w:ascii="Times New Roman" w:hAnsi="Times New Roman" w:cs="Times New Roman"/>
          <w:lang w:val="en-US"/>
        </w:rPr>
        <w:tab/>
        <w:t>Pahor M, Guralnik JM, Ambrosius WT, Blair S, Bonds DE, Church TS, et al. Effect of structured physical activity on prevention of major mobility disability in older adults: the LIFE study randomized clinical trial. Jama. 2014;311(23):2387-96.</w:t>
      </w:r>
    </w:p>
    <w:p w14:paraId="4CD5F016"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13.</w:t>
      </w:r>
      <w:r w:rsidRPr="0005570F">
        <w:rPr>
          <w:rFonts w:ascii="Times New Roman" w:hAnsi="Times New Roman" w:cs="Times New Roman"/>
          <w:lang w:val="en-US"/>
        </w:rPr>
        <w:tab/>
        <w:t>Favus MJ. Bisphosphonates for Osteoporosis. Limited Time Free Clinical Practice Companion. 2011;363:63.</w:t>
      </w:r>
    </w:p>
    <w:p w14:paraId="4668687D"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14.</w:t>
      </w:r>
      <w:r w:rsidRPr="0005570F">
        <w:rPr>
          <w:rFonts w:ascii="Times New Roman" w:hAnsi="Times New Roman" w:cs="Times New Roman"/>
          <w:lang w:val="en-US"/>
        </w:rPr>
        <w:tab/>
        <w:t>Avenell A, Mak JC, O'Connell D. Vitamin D and vitamin D analogues for preventing fractures in post‐menopausal women and older men. Cochrane Database of Systematic Reviews. 2014(4).</w:t>
      </w:r>
    </w:p>
    <w:p w14:paraId="2E7D5DDA"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15.</w:t>
      </w:r>
      <w:r w:rsidRPr="0005570F">
        <w:rPr>
          <w:rFonts w:ascii="Times New Roman" w:hAnsi="Times New Roman" w:cs="Times New Roman"/>
          <w:lang w:val="en-US"/>
        </w:rPr>
        <w:tab/>
        <w:t>Sallis RE, Baggish AL, Franklin BA, Whitehead JR. The call for a physical activity vital sign in clinical practice. The American journal of medicine. 2016;129(9):903-5.</w:t>
      </w:r>
    </w:p>
    <w:p w14:paraId="1A8630E4"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16.</w:t>
      </w:r>
      <w:r w:rsidRPr="0005570F">
        <w:rPr>
          <w:rFonts w:ascii="Times New Roman" w:hAnsi="Times New Roman" w:cs="Times New Roman"/>
          <w:lang w:val="en-US"/>
        </w:rPr>
        <w:tab/>
        <w:t xml:space="preserve">Sparling PB, Howard BJ, Dunstan DW, Owen N. Recommendations for physical activity in older adults. </w:t>
      </w:r>
      <w:r w:rsidRPr="0005570F">
        <w:rPr>
          <w:rFonts w:ascii="Times New Roman" w:hAnsi="Times New Roman" w:cs="Times New Roman"/>
        </w:rPr>
        <w:t>Bmj. 2015;350:h100.</w:t>
      </w:r>
    </w:p>
    <w:p w14:paraId="290E5340"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rPr>
        <w:t>17.</w:t>
      </w:r>
      <w:r w:rsidRPr="0005570F">
        <w:rPr>
          <w:rFonts w:ascii="Times New Roman" w:hAnsi="Times New Roman" w:cs="Times New Roman"/>
        </w:rPr>
        <w:tab/>
        <w:t xml:space="preserve">Lugones Botell M. Climaterio, daño vascular y sexualidad. Revista Cubana de Obstetricia y Ginecología. </w:t>
      </w:r>
      <w:r w:rsidRPr="0005570F">
        <w:rPr>
          <w:rFonts w:ascii="Times New Roman" w:hAnsi="Times New Roman" w:cs="Times New Roman"/>
          <w:lang w:val="en-US"/>
        </w:rPr>
        <w:t>2013;39(4):413-26.</w:t>
      </w:r>
    </w:p>
    <w:p w14:paraId="259C8F79"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18.</w:t>
      </w:r>
      <w:r w:rsidRPr="0005570F">
        <w:rPr>
          <w:rFonts w:ascii="Times New Roman" w:hAnsi="Times New Roman" w:cs="Times New Roman"/>
          <w:lang w:val="en-US"/>
        </w:rPr>
        <w:tab/>
        <w:t xml:space="preserve">Dawson-Hughes B, Heaney RP, Holick MF, Lips P, Meunier PJ, Vieth R. Estimates of optimal vitamin D status. </w:t>
      </w:r>
      <w:r w:rsidRPr="0005570F">
        <w:rPr>
          <w:rFonts w:ascii="Times New Roman" w:hAnsi="Times New Roman" w:cs="Times New Roman"/>
        </w:rPr>
        <w:t>Springer; 2005.</w:t>
      </w:r>
    </w:p>
    <w:p w14:paraId="0238EAE7"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19.</w:t>
      </w:r>
      <w:r w:rsidRPr="0005570F">
        <w:rPr>
          <w:rFonts w:ascii="Times New Roman" w:hAnsi="Times New Roman" w:cs="Times New Roman"/>
        </w:rPr>
        <w:tab/>
        <w:t>Municio JIP. Aprendices y maestros: La nueva cultura del aprendizaje: Alianza Editorial; 1999.</w:t>
      </w:r>
    </w:p>
    <w:p w14:paraId="5C986081"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20.</w:t>
      </w:r>
      <w:r w:rsidRPr="0005570F">
        <w:rPr>
          <w:rFonts w:ascii="Times New Roman" w:hAnsi="Times New Roman" w:cs="Times New Roman"/>
        </w:rPr>
        <w:tab/>
        <w:t>Rivas Navarro M. Procesos cognitivos y aprendizaje significativo: Comunidad de Madrid. Consejería de Educación. Viceconsejería de Organización …; 2008.</w:t>
      </w:r>
    </w:p>
    <w:p w14:paraId="5CBB24BB"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21.</w:t>
      </w:r>
      <w:r w:rsidRPr="0005570F">
        <w:rPr>
          <w:rFonts w:ascii="Times New Roman" w:hAnsi="Times New Roman" w:cs="Times New Roman"/>
        </w:rPr>
        <w:tab/>
        <w:t>Gagné RM. Principios básicos del aprendizaje para la instrucción. 1975.</w:t>
      </w:r>
    </w:p>
    <w:p w14:paraId="127D120C"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22.</w:t>
      </w:r>
      <w:r w:rsidRPr="0005570F">
        <w:rPr>
          <w:rFonts w:ascii="Times New Roman" w:hAnsi="Times New Roman" w:cs="Times New Roman"/>
        </w:rPr>
        <w:tab/>
        <w:t>Marcelo García C. Aprender a enseñar en la sociedad del conocimiento. Education Policy Analysis Archives (2002, p 1-50). 2002.</w:t>
      </w:r>
    </w:p>
    <w:p w14:paraId="632A105A"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23.</w:t>
      </w:r>
      <w:r w:rsidRPr="0005570F">
        <w:rPr>
          <w:rFonts w:ascii="Times New Roman" w:hAnsi="Times New Roman" w:cs="Times New Roman"/>
        </w:rPr>
        <w:tab/>
        <w:t>Coll Salvador C. Aprendizaje escolar y construcción del conocimiento1990.</w:t>
      </w:r>
    </w:p>
    <w:p w14:paraId="5FC23D29"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24.</w:t>
      </w:r>
      <w:r w:rsidRPr="0005570F">
        <w:rPr>
          <w:rFonts w:ascii="Times New Roman" w:hAnsi="Times New Roman" w:cs="Times New Roman"/>
        </w:rPr>
        <w:tab/>
        <w:t>Vigotsky L. Pensamiento y lenguaje, Ed. Pueblo y Educación, La Habana. 1982.</w:t>
      </w:r>
    </w:p>
    <w:p w14:paraId="39B14063"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lastRenderedPageBreak/>
        <w:t>25.</w:t>
      </w:r>
      <w:r w:rsidRPr="0005570F">
        <w:rPr>
          <w:rFonts w:ascii="Times New Roman" w:hAnsi="Times New Roman" w:cs="Times New Roman"/>
        </w:rPr>
        <w:tab/>
        <w:t>Ausubel D, Novak J, Hanesian H. Psicología Educativa: un punto de vista cognoscitivo, editorial Trillas. México DF. 1983.</w:t>
      </w:r>
    </w:p>
    <w:p w14:paraId="5FFFDE6B"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26.</w:t>
      </w:r>
      <w:r w:rsidRPr="0005570F">
        <w:rPr>
          <w:rFonts w:ascii="Times New Roman" w:hAnsi="Times New Roman" w:cs="Times New Roman"/>
        </w:rPr>
        <w:tab/>
        <w:t>NOVOA MONTAÑO LdC. red de maestros. Chile. Noviembre 2006, On line http. 2006.</w:t>
      </w:r>
    </w:p>
    <w:p w14:paraId="7604A182"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27.</w:t>
      </w:r>
      <w:r w:rsidRPr="0005570F">
        <w:rPr>
          <w:rFonts w:ascii="Times New Roman" w:hAnsi="Times New Roman" w:cs="Times New Roman"/>
        </w:rPr>
        <w:tab/>
        <w:t>Díaz F, Hernández G. Estrategias docentes para un aprendizaje significativo: México: McGraw-Hill; 2002.</w:t>
      </w:r>
    </w:p>
    <w:p w14:paraId="2AB4F4FC"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28.</w:t>
      </w:r>
      <w:r w:rsidRPr="0005570F">
        <w:rPr>
          <w:rFonts w:ascii="Times New Roman" w:hAnsi="Times New Roman" w:cs="Times New Roman"/>
        </w:rPr>
        <w:tab/>
        <w:t>Zabala A, Alsina P, Bantulà J. Cómo trabajar los contenidos procedimentales en el aula: Graó Barcelona; 1993.</w:t>
      </w:r>
    </w:p>
    <w:p w14:paraId="7B272BA7"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rPr>
        <w:t>29.</w:t>
      </w:r>
      <w:r w:rsidRPr="0005570F">
        <w:rPr>
          <w:rFonts w:ascii="Times New Roman" w:hAnsi="Times New Roman" w:cs="Times New Roman"/>
        </w:rPr>
        <w:tab/>
        <w:t xml:space="preserve">Rae RAE. Diccionario de la lengua española. Vigésima segunda Edición Disponible en línea en </w:t>
      </w:r>
      <w:hyperlink r:id="rId14" w:history="1">
        <w:r w:rsidRPr="0005570F">
          <w:rPr>
            <w:rStyle w:val="Hipervnculo"/>
            <w:rFonts w:ascii="Times New Roman" w:hAnsi="Times New Roman" w:cs="Times New Roman"/>
            <w:color w:val="auto"/>
          </w:rPr>
          <w:t>http://www</w:t>
        </w:r>
      </w:hyperlink>
      <w:r w:rsidRPr="0005570F">
        <w:rPr>
          <w:rFonts w:ascii="Times New Roman" w:hAnsi="Times New Roman" w:cs="Times New Roman"/>
        </w:rPr>
        <w:t xml:space="preserve"> rae es/rae html. </w:t>
      </w:r>
      <w:r w:rsidRPr="0005570F">
        <w:rPr>
          <w:rFonts w:ascii="Times New Roman" w:hAnsi="Times New Roman" w:cs="Times New Roman"/>
          <w:lang w:val="en-US"/>
        </w:rPr>
        <w:t>2001.</w:t>
      </w:r>
    </w:p>
    <w:p w14:paraId="28C2AA25"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30.</w:t>
      </w:r>
      <w:r w:rsidRPr="0005570F">
        <w:rPr>
          <w:rFonts w:ascii="Times New Roman" w:hAnsi="Times New Roman" w:cs="Times New Roman"/>
          <w:lang w:val="en-US"/>
        </w:rPr>
        <w:tab/>
        <w:t>Morey MC. Physical activity and exercise in older adults. UpToDate, Waltham,(Consulted 11 April 2015). 2015.</w:t>
      </w:r>
    </w:p>
    <w:p w14:paraId="4F060650"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31.</w:t>
      </w:r>
      <w:r w:rsidRPr="0005570F">
        <w:rPr>
          <w:rFonts w:ascii="Times New Roman" w:hAnsi="Times New Roman" w:cs="Times New Roman"/>
          <w:lang w:val="en-US"/>
        </w:rPr>
        <w:tab/>
        <w:t xml:space="preserve">Moyer VA. Vitamin D and calcium supplementation to prevent fractures in adults: US Preventive Services Task Force recommendation statement. </w:t>
      </w:r>
      <w:r w:rsidRPr="0005570F">
        <w:rPr>
          <w:rFonts w:ascii="Times New Roman" w:hAnsi="Times New Roman" w:cs="Times New Roman"/>
        </w:rPr>
        <w:t>Annals of internal medicine. 2013;158(9):691-6.</w:t>
      </w:r>
    </w:p>
    <w:p w14:paraId="352CFFBC"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32.</w:t>
      </w:r>
      <w:r w:rsidRPr="0005570F">
        <w:rPr>
          <w:rFonts w:ascii="Times New Roman" w:hAnsi="Times New Roman" w:cs="Times New Roman"/>
        </w:rPr>
        <w:tab/>
        <w:t>Sampieri RH. Metodología de la investigación: las rutas cuantitativa, cualitativa y mixta: McGraw Hill México; 2018.</w:t>
      </w:r>
    </w:p>
    <w:p w14:paraId="1A5B8C84"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33.</w:t>
      </w:r>
      <w:r w:rsidRPr="0005570F">
        <w:rPr>
          <w:rFonts w:ascii="Times New Roman" w:hAnsi="Times New Roman" w:cs="Times New Roman"/>
          <w:lang w:val="en-US"/>
        </w:rPr>
        <w:tab/>
        <w:t>Peterson MD, Gordon PM. Resistance exercise for the aging adult: clinical implications and prescription guidelines. The American journal of medicine. 2011;124(3):194-8.</w:t>
      </w:r>
    </w:p>
    <w:p w14:paraId="452A66CA" w14:textId="77777777" w:rsidR="003C616A" w:rsidRPr="00D67748" w:rsidRDefault="003C616A" w:rsidP="00592820">
      <w:pPr>
        <w:pStyle w:val="EndNoteBibliography"/>
        <w:ind w:left="567" w:hanging="567"/>
        <w:jc w:val="left"/>
        <w:rPr>
          <w:rFonts w:ascii="Times New Roman" w:hAnsi="Times New Roman" w:cs="Times New Roman"/>
          <w:lang w:val="pt-BR"/>
        </w:rPr>
      </w:pPr>
      <w:r w:rsidRPr="0005570F">
        <w:rPr>
          <w:rFonts w:ascii="Times New Roman" w:hAnsi="Times New Roman" w:cs="Times New Roman"/>
          <w:lang w:val="en-US"/>
        </w:rPr>
        <w:t>34.</w:t>
      </w:r>
      <w:r w:rsidRPr="0005570F">
        <w:rPr>
          <w:rFonts w:ascii="Times New Roman" w:hAnsi="Times New Roman" w:cs="Times New Roman"/>
          <w:lang w:val="en-US"/>
        </w:rPr>
        <w:tab/>
        <w:t xml:space="preserve">Friman CRC, Campos AZ, Cabrera LCB. </w:t>
      </w:r>
      <w:r w:rsidRPr="0005570F">
        <w:rPr>
          <w:rFonts w:ascii="Times New Roman" w:hAnsi="Times New Roman" w:cs="Times New Roman"/>
        </w:rPr>
        <w:t xml:space="preserve">Factores de riesgo y la prevención de la osteoporosis. </w:t>
      </w:r>
      <w:r w:rsidRPr="00D67748">
        <w:rPr>
          <w:rFonts w:ascii="Times New Roman" w:hAnsi="Times New Roman" w:cs="Times New Roman"/>
          <w:lang w:val="pt-BR"/>
        </w:rPr>
        <w:t>Correo Científico Médico. 2018;21(4).</w:t>
      </w:r>
    </w:p>
    <w:p w14:paraId="06B62E20" w14:textId="77777777" w:rsidR="003C616A" w:rsidRPr="0005570F" w:rsidRDefault="003C616A" w:rsidP="00592820">
      <w:pPr>
        <w:pStyle w:val="EndNoteBibliography"/>
        <w:ind w:left="567" w:hanging="567"/>
        <w:jc w:val="left"/>
        <w:rPr>
          <w:rFonts w:ascii="Times New Roman" w:hAnsi="Times New Roman" w:cs="Times New Roman"/>
        </w:rPr>
      </w:pPr>
      <w:r w:rsidRPr="00D67748">
        <w:rPr>
          <w:rFonts w:ascii="Times New Roman" w:hAnsi="Times New Roman" w:cs="Times New Roman"/>
          <w:lang w:val="pt-BR"/>
        </w:rPr>
        <w:t>35.</w:t>
      </w:r>
      <w:r w:rsidRPr="00D67748">
        <w:rPr>
          <w:rFonts w:ascii="Times New Roman" w:hAnsi="Times New Roman" w:cs="Times New Roman"/>
          <w:lang w:val="pt-BR"/>
        </w:rPr>
        <w:tab/>
        <w:t xml:space="preserve">Pilchisaca CYM, Alvarado IDM, Haz NNS, Choez PMJ. </w:t>
      </w:r>
      <w:r w:rsidRPr="0005570F">
        <w:rPr>
          <w:rFonts w:ascii="Times New Roman" w:hAnsi="Times New Roman" w:cs="Times New Roman"/>
        </w:rPr>
        <w:t>Osteoporosis: Enfermedad Silenciosa. RECIMUNDO: Revista Científica de la Investigación y el Conocimiento. 2018;2(3):705-21.</w:t>
      </w:r>
    </w:p>
    <w:p w14:paraId="161433D4"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36.</w:t>
      </w:r>
      <w:r w:rsidRPr="0005570F">
        <w:rPr>
          <w:rFonts w:ascii="Times New Roman" w:hAnsi="Times New Roman" w:cs="Times New Roman"/>
        </w:rPr>
        <w:tab/>
        <w:t>Mendoza Palacin RF. Conocimiento de Factores de Riesgo de Osteoporosis del Personal Administrativo Red Salud Mantaro-2016. 2017.</w:t>
      </w:r>
    </w:p>
    <w:p w14:paraId="20151A51"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37.</w:t>
      </w:r>
      <w:r w:rsidRPr="0005570F">
        <w:rPr>
          <w:rFonts w:ascii="Times New Roman" w:hAnsi="Times New Roman" w:cs="Times New Roman"/>
        </w:rPr>
        <w:tab/>
        <w:t>Flores-Villoslada K, Garcia-Vasquez L, Gordillo-Castro J, Segura-Muñoz D, Pretell-Nazario C. Grado de conocimiento acerca de la prevención de osteoporosis en cesantes y jubilados del sector educación de Lambayeque-junio del 2015. Revista del Cuerpo Médico del HNAAA. 2016;9(3):152-6.</w:t>
      </w:r>
    </w:p>
    <w:p w14:paraId="649F6825"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38.</w:t>
      </w:r>
      <w:r w:rsidRPr="0005570F">
        <w:rPr>
          <w:rFonts w:ascii="Times New Roman" w:hAnsi="Times New Roman" w:cs="Times New Roman"/>
        </w:rPr>
        <w:tab/>
        <w:t>Ylachoque S, Soraida Y, Pisco Quispe BP. Estudio comparativo de conocimiento de osteoporosis con las prácticas de autocuidado en mujeres que acuden a tres centros de salud (Costa, Sierra y Selva) de la zona sur del Perú, 2017. 2017.</w:t>
      </w:r>
    </w:p>
    <w:p w14:paraId="526B41A9"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rPr>
        <w:t>39.</w:t>
      </w:r>
      <w:r w:rsidRPr="0005570F">
        <w:rPr>
          <w:rFonts w:ascii="Times New Roman" w:hAnsi="Times New Roman" w:cs="Times New Roman"/>
        </w:rPr>
        <w:tab/>
        <w:t xml:space="preserve">Kılıç D, Erci B. Premenopozal Dönemdeki Kadinlara Verilen Eğitimin Osteoporoza Ilişkin Sağlik Inançlari Ve Bilgi Düzeylerine Etkisi. </w:t>
      </w:r>
      <w:r w:rsidRPr="0005570F">
        <w:rPr>
          <w:rFonts w:ascii="Times New Roman" w:hAnsi="Times New Roman" w:cs="Times New Roman"/>
          <w:lang w:val="en-US"/>
        </w:rPr>
        <w:t>Anadolu Hemşirelik ve Sağlık Bilimleri Dergisi. 2007;10(3):34-44.</w:t>
      </w:r>
    </w:p>
    <w:p w14:paraId="77C2D1A6"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lang w:val="en-US"/>
        </w:rPr>
        <w:t>40.</w:t>
      </w:r>
      <w:r w:rsidRPr="0005570F">
        <w:rPr>
          <w:rFonts w:ascii="Times New Roman" w:hAnsi="Times New Roman" w:cs="Times New Roman"/>
          <w:lang w:val="en-US"/>
        </w:rPr>
        <w:tab/>
        <w:t>Hidarnia A, Kashfi SM, Ghasemi A, Askari A. A Health Promotion Program based on the Health Belief Model regarding Women’s Osteoporosis. International Journal of Musculoskeletal Pain Prevention. 2016;1(1):7-16.</w:t>
      </w:r>
    </w:p>
    <w:p w14:paraId="07F1C4AB"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41.</w:t>
      </w:r>
      <w:r w:rsidRPr="0005570F">
        <w:rPr>
          <w:rFonts w:ascii="Times New Roman" w:hAnsi="Times New Roman" w:cs="Times New Roman"/>
          <w:lang w:val="en-US"/>
        </w:rPr>
        <w:tab/>
        <w:t xml:space="preserve">AlKasseh A, Zaki N, Aljeesh YI, Soon L. Risk factors of gestational diabetes mellitus in the refugee population in Gaza Strip: a case--control study. Risk factors of gestational diabetes mellitus in the refugee population in Gaza Strip: a case--control study. </w:t>
      </w:r>
      <w:r w:rsidRPr="0005570F">
        <w:rPr>
          <w:rFonts w:ascii="Times New Roman" w:hAnsi="Times New Roman" w:cs="Times New Roman"/>
        </w:rPr>
        <w:t>2013;19.</w:t>
      </w:r>
    </w:p>
    <w:p w14:paraId="6112953B" w14:textId="77777777" w:rsidR="003C616A" w:rsidRPr="0005570F"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rPr>
        <w:t>42.</w:t>
      </w:r>
      <w:r w:rsidRPr="0005570F">
        <w:rPr>
          <w:rFonts w:ascii="Times New Roman" w:hAnsi="Times New Roman" w:cs="Times New Roman"/>
        </w:rPr>
        <w:tab/>
        <w:t>Mex GO. Prevalencia de osteopenia y osteoporosis en mujeres posmenopáusicas y su relación con factores de riesgo. Ginecol Obstet Mex. 2014;82:223-8.</w:t>
      </w:r>
    </w:p>
    <w:p w14:paraId="20F3F2B8" w14:textId="77777777" w:rsidR="003C616A" w:rsidRPr="0005570F" w:rsidRDefault="003C616A" w:rsidP="00592820">
      <w:pPr>
        <w:pStyle w:val="EndNoteBibliography"/>
        <w:ind w:left="567" w:hanging="567"/>
        <w:jc w:val="left"/>
        <w:rPr>
          <w:rFonts w:ascii="Times New Roman" w:hAnsi="Times New Roman" w:cs="Times New Roman"/>
          <w:lang w:val="en-US"/>
        </w:rPr>
      </w:pPr>
      <w:r w:rsidRPr="0005570F">
        <w:rPr>
          <w:rFonts w:ascii="Times New Roman" w:hAnsi="Times New Roman" w:cs="Times New Roman"/>
        </w:rPr>
        <w:t>43.</w:t>
      </w:r>
      <w:r w:rsidRPr="0005570F">
        <w:rPr>
          <w:rFonts w:ascii="Times New Roman" w:hAnsi="Times New Roman" w:cs="Times New Roman"/>
        </w:rPr>
        <w:tab/>
        <w:t xml:space="preserve">Martínez Ortega RM, Tuya Pendás LC, Martínez Ortega M, Pérez Abreu A, Cánovas AM. El coeficiente de correlación de los rangos de Spearman caracterización. </w:t>
      </w:r>
      <w:r w:rsidRPr="0005570F">
        <w:rPr>
          <w:rFonts w:ascii="Times New Roman" w:hAnsi="Times New Roman" w:cs="Times New Roman"/>
          <w:lang w:val="en-US"/>
        </w:rPr>
        <w:t>Revista Habanera de Ciencias Médicas. 2009;8(2):0-.</w:t>
      </w:r>
    </w:p>
    <w:p w14:paraId="49B3411A" w14:textId="0546FB65" w:rsidR="003C616A" w:rsidRDefault="003C616A" w:rsidP="00592820">
      <w:pPr>
        <w:pStyle w:val="EndNoteBibliography"/>
        <w:ind w:left="567" w:hanging="567"/>
        <w:jc w:val="left"/>
        <w:rPr>
          <w:rFonts w:ascii="Times New Roman" w:hAnsi="Times New Roman" w:cs="Times New Roman"/>
        </w:rPr>
      </w:pPr>
      <w:r w:rsidRPr="0005570F">
        <w:rPr>
          <w:rFonts w:ascii="Times New Roman" w:hAnsi="Times New Roman" w:cs="Times New Roman"/>
          <w:lang w:val="en-US"/>
        </w:rPr>
        <w:t>44.</w:t>
      </w:r>
      <w:r w:rsidRPr="0005570F">
        <w:rPr>
          <w:rFonts w:ascii="Times New Roman" w:hAnsi="Times New Roman" w:cs="Times New Roman"/>
          <w:lang w:val="en-US"/>
        </w:rPr>
        <w:tab/>
        <w:t xml:space="preserve">Organization WH. Obesity: preventing and managing the global epidemic. Report of a WHO Consultation (WHO Technical Report Series 894). </w:t>
      </w:r>
      <w:r w:rsidRPr="0005570F">
        <w:rPr>
          <w:rFonts w:ascii="Times New Roman" w:hAnsi="Times New Roman" w:cs="Times New Roman"/>
        </w:rPr>
        <w:t>2000. Report No.: 92 4 120894 5.</w:t>
      </w:r>
    </w:p>
    <w:p w14:paraId="0F270B77" w14:textId="65406F77" w:rsidR="008114A3" w:rsidRPr="0005570F" w:rsidRDefault="008114A3" w:rsidP="00592820">
      <w:pPr>
        <w:pStyle w:val="EndNoteBibliography"/>
        <w:ind w:left="567" w:hanging="567"/>
        <w:jc w:val="left"/>
        <w:rPr>
          <w:rFonts w:ascii="Times New Roman" w:hAnsi="Times New Roman" w:cs="Times New Roman"/>
        </w:rPr>
      </w:pPr>
      <w:r>
        <w:rPr>
          <w:rFonts w:ascii="Times New Roman" w:hAnsi="Times New Roman" w:cs="Times New Roman"/>
        </w:rPr>
        <w:t xml:space="preserve">45     </w:t>
      </w:r>
      <w:r w:rsidR="00117AE4">
        <w:rPr>
          <w:rFonts w:ascii="Times New Roman" w:hAnsi="Times New Roman" w:cs="Times New Roman"/>
        </w:rPr>
        <w:t xml:space="preserve">Ministerio de salud: </w:t>
      </w:r>
      <w:r w:rsidRPr="008114A3">
        <w:rPr>
          <w:rFonts w:ascii="Times New Roman" w:hAnsi="Times New Roman" w:cs="Times New Roman"/>
        </w:rPr>
        <w:t>http://www.minsa.gob.pe/portada/camp_osteoporosis.asp</w:t>
      </w:r>
    </w:p>
    <w:p w14:paraId="7CD56E7D" w14:textId="77777777" w:rsidR="003C616A" w:rsidRPr="0005570F" w:rsidRDefault="003C616A" w:rsidP="00592820">
      <w:pPr>
        <w:spacing w:line="240" w:lineRule="auto"/>
        <w:ind w:left="567" w:hanging="567"/>
        <w:rPr>
          <w:rFonts w:ascii="Times New Roman" w:hAnsi="Times New Roman"/>
          <w:b/>
          <w:sz w:val="24"/>
          <w:szCs w:val="24"/>
        </w:rPr>
      </w:pPr>
      <w:r w:rsidRPr="0005570F">
        <w:rPr>
          <w:rFonts w:ascii="Times New Roman" w:hAnsi="Times New Roman"/>
          <w:sz w:val="24"/>
          <w:szCs w:val="24"/>
        </w:rPr>
        <w:lastRenderedPageBreak/>
        <w:fldChar w:fldCharType="end"/>
      </w:r>
    </w:p>
    <w:sectPr w:rsidR="003C616A" w:rsidRPr="0005570F" w:rsidSect="00692D6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8F648" w14:textId="77777777" w:rsidR="008534F0" w:rsidRDefault="008534F0" w:rsidP="0002077F">
      <w:pPr>
        <w:spacing w:after="0" w:line="240" w:lineRule="auto"/>
      </w:pPr>
      <w:r>
        <w:separator/>
      </w:r>
    </w:p>
  </w:endnote>
  <w:endnote w:type="continuationSeparator" w:id="0">
    <w:p w14:paraId="237E9D3C" w14:textId="77777777" w:rsidR="008534F0" w:rsidRDefault="008534F0" w:rsidP="0002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9174C" w14:textId="77777777" w:rsidR="0071564C" w:rsidRDefault="007156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D00B" w14:textId="3D01BF28" w:rsidR="00AD55DA" w:rsidRDefault="00AD55DA">
    <w:pPr>
      <w:pStyle w:val="Piedepgina"/>
      <w:jc w:val="right"/>
    </w:pPr>
  </w:p>
  <w:p w14:paraId="2788178E" w14:textId="77777777" w:rsidR="00AD55DA" w:rsidRDefault="00AD55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45997" w14:textId="355E43DF" w:rsidR="00B81B21" w:rsidRDefault="00B81B21" w:rsidP="00B81B21">
    <w:pPr>
      <w:pStyle w:val="Piedepgina"/>
      <w:rPr>
        <w:lang w:val="es-PE"/>
      </w:rPr>
    </w:pPr>
    <w:r w:rsidRPr="00B81B21">
      <w:rPr>
        <w:lang w:val="es-PE"/>
      </w:rPr>
      <w:t>Liliana Asunción Sumarriva-Bustinza</w:t>
    </w:r>
    <w:r>
      <w:rPr>
        <w:lang w:val="es-PE"/>
      </w:rPr>
      <w:t>:</w:t>
    </w:r>
    <w:r w:rsidRPr="00B81B21">
      <w:rPr>
        <w:lang w:val="es-PE"/>
      </w:rPr>
      <w:t xml:space="preserve"> </w:t>
    </w:r>
    <w:r w:rsidR="00366B63">
      <w:rPr>
        <w:lang w:val="es-PE"/>
      </w:rPr>
      <w:t xml:space="preserve"> </w:t>
    </w:r>
    <w:r w:rsidR="00F84F03">
      <w:rPr>
        <w:lang w:val="es-PE"/>
      </w:rPr>
      <w:t>ORCID:</w:t>
    </w:r>
    <w:r w:rsidR="00366B63" w:rsidRPr="00366B63">
      <w:rPr>
        <w:lang w:val="es-PE"/>
      </w:rPr>
      <w:t>0000-0002-6128-3089</w:t>
    </w:r>
  </w:p>
  <w:p w14:paraId="60E853A5" w14:textId="21E10018" w:rsidR="00B81B21" w:rsidRPr="00D67748" w:rsidRDefault="00B81B21" w:rsidP="00B81B21">
    <w:pPr>
      <w:pStyle w:val="Piedepgina"/>
      <w:rPr>
        <w:lang w:val="pt-BR"/>
      </w:rPr>
    </w:pPr>
    <w:r w:rsidRPr="00D67748">
      <w:rPr>
        <w:lang w:val="pt-BR"/>
      </w:rPr>
      <w:t>Estelita Marlene Pareja-Joaquín:</w:t>
    </w:r>
    <w:r w:rsidR="00366B63" w:rsidRPr="00D67748">
      <w:rPr>
        <w:lang w:val="pt-BR"/>
      </w:rPr>
      <w:t xml:space="preserve"> </w:t>
    </w:r>
    <w:r w:rsidR="00F84F03" w:rsidRPr="00D67748">
      <w:rPr>
        <w:lang w:val="pt-BR"/>
      </w:rPr>
      <w:tab/>
      <w:t>ORCID:</w:t>
    </w:r>
    <w:r w:rsidR="00366B63" w:rsidRPr="00D67748">
      <w:rPr>
        <w:lang w:val="pt-BR"/>
      </w:rPr>
      <w:t xml:space="preserve"> 0000-0003-1132-9437</w:t>
    </w:r>
  </w:p>
  <w:p w14:paraId="7D807924" w14:textId="55CB48BD" w:rsidR="00F84F03" w:rsidRPr="00D67748" w:rsidRDefault="00F84F03" w:rsidP="00B81B21">
    <w:pPr>
      <w:pStyle w:val="Piedepgina"/>
      <w:rPr>
        <w:lang w:val="pt-BR"/>
      </w:rPr>
    </w:pPr>
    <w:r w:rsidRPr="00D67748">
      <w:rPr>
        <w:lang w:val="pt-BR"/>
      </w:rPr>
      <w:t>Zaida Olinda Pumacayo-</w:t>
    </w:r>
    <w:r w:rsidR="00E2499B" w:rsidRPr="00D67748">
      <w:rPr>
        <w:lang w:val="pt-BR"/>
      </w:rPr>
      <w:t>Sánchez</w:t>
    </w:r>
    <w:r w:rsidRPr="00D67748">
      <w:rPr>
        <w:lang w:val="pt-BR"/>
      </w:rPr>
      <w:t xml:space="preserve"> ORCID: 0000-0001-6209-4637</w:t>
    </w:r>
  </w:p>
  <w:p w14:paraId="5D5EE47B" w14:textId="4CF77CC0" w:rsidR="00F84F03" w:rsidRPr="00D67748" w:rsidRDefault="00F84F03" w:rsidP="00B81B21">
    <w:pPr>
      <w:pStyle w:val="Piedepgina"/>
      <w:rPr>
        <w:lang w:val="pt-BR"/>
      </w:rPr>
    </w:pPr>
    <w:r w:rsidRPr="00D67748">
      <w:rPr>
        <w:lang w:val="pt-BR"/>
      </w:rPr>
      <w:t>David Choque-Quispe:                   ORCID:0 000-0003-4002-7526</w:t>
    </w:r>
  </w:p>
  <w:p w14:paraId="1D7BF821" w14:textId="1DDE6B33" w:rsidR="00B81B21" w:rsidRPr="00B81B21" w:rsidRDefault="00B81B21" w:rsidP="00B81B21">
    <w:pPr>
      <w:pStyle w:val="Piedepgina"/>
      <w:rPr>
        <w:lang w:val="es-PE"/>
      </w:rPr>
    </w:pPr>
    <w:r>
      <w:rPr>
        <w:lang w:val="es-PE"/>
      </w:rPr>
      <w:t>Nadia Lys Chávez-Sumarriva:</w:t>
    </w:r>
    <w:r w:rsidR="00366B63">
      <w:rPr>
        <w:lang w:val="es-PE"/>
      </w:rPr>
      <w:t xml:space="preserve"> </w:t>
    </w:r>
    <w:r w:rsidR="00F84F03">
      <w:rPr>
        <w:lang w:val="es-PE"/>
      </w:rPr>
      <w:t xml:space="preserve">      ORCID:</w:t>
    </w:r>
    <w:r w:rsidR="00366B63" w:rsidRPr="00366B63">
      <w:rPr>
        <w:lang w:val="es-PE"/>
      </w:rPr>
      <w:t>0000-0001-5940-987X</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292"/>
      <w:docPartObj>
        <w:docPartGallery w:val="Page Numbers (Bottom of Page)"/>
        <w:docPartUnique/>
      </w:docPartObj>
    </w:sdtPr>
    <w:sdtEndPr/>
    <w:sdtContent>
      <w:p w14:paraId="65298CE6" w14:textId="77777777" w:rsidR="002647F1" w:rsidRDefault="00431DEE">
        <w:pPr>
          <w:pStyle w:val="Piedepgina"/>
          <w:jc w:val="right"/>
        </w:pPr>
      </w:p>
    </w:sdtContent>
  </w:sdt>
  <w:p w14:paraId="060F47EC" w14:textId="77777777" w:rsidR="002647F1" w:rsidRDefault="002647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93886" w14:textId="77777777" w:rsidR="008534F0" w:rsidRDefault="008534F0" w:rsidP="0002077F">
      <w:pPr>
        <w:spacing w:after="0" w:line="240" w:lineRule="auto"/>
      </w:pPr>
      <w:r>
        <w:separator/>
      </w:r>
    </w:p>
  </w:footnote>
  <w:footnote w:type="continuationSeparator" w:id="0">
    <w:p w14:paraId="43C71E4D" w14:textId="77777777" w:rsidR="008534F0" w:rsidRDefault="008534F0" w:rsidP="00020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EA7E8" w14:textId="77777777" w:rsidR="0071564C" w:rsidRDefault="007156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05345" w14:textId="77777777" w:rsidR="0071564C" w:rsidRDefault="0071564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4118C" w14:textId="77777777" w:rsidR="0071564C" w:rsidRDefault="007156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FC5"/>
    <w:multiLevelType w:val="multilevel"/>
    <w:tmpl w:val="EB62D32E"/>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4.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614F1D"/>
    <w:multiLevelType w:val="hybridMultilevel"/>
    <w:tmpl w:val="5A2846DA"/>
    <w:lvl w:ilvl="0" w:tplc="74F8C030">
      <w:start w:val="1"/>
      <w:numFmt w:val="lowerLetter"/>
      <w:lvlText w:val="%1."/>
      <w:lvlJc w:val="left"/>
      <w:pPr>
        <w:ind w:left="1440" w:hanging="360"/>
      </w:pPr>
      <w:rPr>
        <w:b/>
        <w:bCs/>
      </w:r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1353" w:hanging="360"/>
      </w:pPr>
    </w:lvl>
    <w:lvl w:ilvl="4" w:tplc="280A0019">
      <w:start w:val="1"/>
      <w:numFmt w:val="lowerLetter"/>
      <w:lvlText w:val="%5."/>
      <w:lvlJc w:val="left"/>
      <w:pPr>
        <w:ind w:left="4320" w:hanging="360"/>
      </w:pPr>
    </w:lvl>
    <w:lvl w:ilvl="5" w:tplc="280A001B">
      <w:start w:val="1"/>
      <w:numFmt w:val="lowerRoman"/>
      <w:lvlText w:val="%6."/>
      <w:lvlJc w:val="right"/>
      <w:pPr>
        <w:ind w:left="5040" w:hanging="180"/>
      </w:pPr>
    </w:lvl>
    <w:lvl w:ilvl="6" w:tplc="280A000F">
      <w:start w:val="1"/>
      <w:numFmt w:val="decimal"/>
      <w:lvlText w:val="%7."/>
      <w:lvlJc w:val="left"/>
      <w:pPr>
        <w:ind w:left="5760" w:hanging="360"/>
      </w:pPr>
    </w:lvl>
    <w:lvl w:ilvl="7" w:tplc="280A0019">
      <w:start w:val="1"/>
      <w:numFmt w:val="lowerLetter"/>
      <w:lvlText w:val="%8."/>
      <w:lvlJc w:val="left"/>
      <w:pPr>
        <w:ind w:left="6480" w:hanging="360"/>
      </w:pPr>
    </w:lvl>
    <w:lvl w:ilvl="8" w:tplc="280A001B">
      <w:start w:val="1"/>
      <w:numFmt w:val="lowerRoman"/>
      <w:lvlText w:val="%9."/>
      <w:lvlJc w:val="right"/>
      <w:pPr>
        <w:ind w:left="7200" w:hanging="180"/>
      </w:pPr>
    </w:lvl>
  </w:abstractNum>
  <w:abstractNum w:abstractNumId="2" w15:restartNumberingAfterBreak="0">
    <w:nsid w:val="191A2830"/>
    <w:multiLevelType w:val="hybridMultilevel"/>
    <w:tmpl w:val="1E28560E"/>
    <w:lvl w:ilvl="0" w:tplc="EE141F24">
      <w:numFmt w:val="bullet"/>
      <w:lvlText w:val="-"/>
      <w:lvlJc w:val="left"/>
      <w:pPr>
        <w:ind w:left="786" w:hanging="360"/>
      </w:pPr>
      <w:rPr>
        <w:rFonts w:ascii="Times New Roman" w:eastAsia="Times New Roman" w:hAnsi="Times New Roman" w:cs="Times New Roman"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 w15:restartNumberingAfterBreak="0">
    <w:nsid w:val="1CAA56C4"/>
    <w:multiLevelType w:val="hybridMultilevel"/>
    <w:tmpl w:val="65723A54"/>
    <w:lvl w:ilvl="0" w:tplc="DACA0A6E">
      <w:start w:val="1"/>
      <w:numFmt w:val="upperRoman"/>
      <w:lvlText w:val="CAPÍTU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92102B"/>
    <w:multiLevelType w:val="hybridMultilevel"/>
    <w:tmpl w:val="D22A47F4"/>
    <w:lvl w:ilvl="0" w:tplc="4E6AC404">
      <w:start w:val="1"/>
      <w:numFmt w:val="decimal"/>
      <w:lvlText w:val="(%1)"/>
      <w:lvlJc w:val="left"/>
      <w:pPr>
        <w:ind w:left="777" w:hanging="360"/>
      </w:pPr>
      <w:rPr>
        <w:rFonts w:hint="default"/>
      </w:rPr>
    </w:lvl>
    <w:lvl w:ilvl="1" w:tplc="280A0019" w:tentative="1">
      <w:start w:val="1"/>
      <w:numFmt w:val="lowerLetter"/>
      <w:lvlText w:val="%2."/>
      <w:lvlJc w:val="left"/>
      <w:pPr>
        <w:ind w:left="1497" w:hanging="360"/>
      </w:pPr>
    </w:lvl>
    <w:lvl w:ilvl="2" w:tplc="280A001B" w:tentative="1">
      <w:start w:val="1"/>
      <w:numFmt w:val="lowerRoman"/>
      <w:lvlText w:val="%3."/>
      <w:lvlJc w:val="right"/>
      <w:pPr>
        <w:ind w:left="2217" w:hanging="180"/>
      </w:pPr>
    </w:lvl>
    <w:lvl w:ilvl="3" w:tplc="280A000F" w:tentative="1">
      <w:start w:val="1"/>
      <w:numFmt w:val="decimal"/>
      <w:lvlText w:val="%4."/>
      <w:lvlJc w:val="left"/>
      <w:pPr>
        <w:ind w:left="2937" w:hanging="360"/>
      </w:pPr>
    </w:lvl>
    <w:lvl w:ilvl="4" w:tplc="280A0019" w:tentative="1">
      <w:start w:val="1"/>
      <w:numFmt w:val="lowerLetter"/>
      <w:lvlText w:val="%5."/>
      <w:lvlJc w:val="left"/>
      <w:pPr>
        <w:ind w:left="3657" w:hanging="360"/>
      </w:pPr>
    </w:lvl>
    <w:lvl w:ilvl="5" w:tplc="280A001B" w:tentative="1">
      <w:start w:val="1"/>
      <w:numFmt w:val="lowerRoman"/>
      <w:lvlText w:val="%6."/>
      <w:lvlJc w:val="right"/>
      <w:pPr>
        <w:ind w:left="4377" w:hanging="180"/>
      </w:pPr>
    </w:lvl>
    <w:lvl w:ilvl="6" w:tplc="280A000F" w:tentative="1">
      <w:start w:val="1"/>
      <w:numFmt w:val="decimal"/>
      <w:lvlText w:val="%7."/>
      <w:lvlJc w:val="left"/>
      <w:pPr>
        <w:ind w:left="5097" w:hanging="360"/>
      </w:pPr>
    </w:lvl>
    <w:lvl w:ilvl="7" w:tplc="280A0019" w:tentative="1">
      <w:start w:val="1"/>
      <w:numFmt w:val="lowerLetter"/>
      <w:lvlText w:val="%8."/>
      <w:lvlJc w:val="left"/>
      <w:pPr>
        <w:ind w:left="5817" w:hanging="360"/>
      </w:pPr>
    </w:lvl>
    <w:lvl w:ilvl="8" w:tplc="280A001B" w:tentative="1">
      <w:start w:val="1"/>
      <w:numFmt w:val="lowerRoman"/>
      <w:lvlText w:val="%9."/>
      <w:lvlJc w:val="right"/>
      <w:pPr>
        <w:ind w:left="6537" w:hanging="180"/>
      </w:pPr>
    </w:lvl>
  </w:abstractNum>
  <w:abstractNum w:abstractNumId="5" w15:restartNumberingAfterBreak="0">
    <w:nsid w:val="21934F4F"/>
    <w:multiLevelType w:val="multilevel"/>
    <w:tmpl w:val="890AB136"/>
    <w:lvl w:ilvl="0">
      <w:start w:val="1"/>
      <w:numFmt w:val="decimal"/>
      <w:lvlText w:val="2.2.%1."/>
      <w:lvlJc w:val="left"/>
      <w:pPr>
        <w:ind w:left="1713" w:hanging="360"/>
      </w:pPr>
      <w:rPr>
        <w:rFonts w:hint="default"/>
      </w:rPr>
    </w:lvl>
    <w:lvl w:ilvl="1">
      <w:start w:val="1"/>
      <w:numFmt w:val="lowerLetter"/>
      <w:lvlText w:val="%2."/>
      <w:lvlJc w:val="left"/>
      <w:pPr>
        <w:ind w:left="2433" w:hanging="360"/>
      </w:pPr>
      <w:rPr>
        <w:rFonts w:hint="default"/>
      </w:rPr>
    </w:lvl>
    <w:lvl w:ilvl="2">
      <w:start w:val="1"/>
      <w:numFmt w:val="lowerRoman"/>
      <w:lvlText w:val="%3."/>
      <w:lvlJc w:val="right"/>
      <w:pPr>
        <w:ind w:left="3153" w:hanging="180"/>
      </w:pPr>
      <w:rPr>
        <w:rFonts w:hint="default"/>
      </w:rPr>
    </w:lvl>
    <w:lvl w:ilvl="3">
      <w:start w:val="1"/>
      <w:numFmt w:val="decimal"/>
      <w:lvlText w:val="%4."/>
      <w:lvlJc w:val="left"/>
      <w:pPr>
        <w:ind w:left="3873" w:hanging="360"/>
      </w:pPr>
      <w:rPr>
        <w:rFonts w:hint="default"/>
      </w:rPr>
    </w:lvl>
    <w:lvl w:ilvl="4">
      <w:start w:val="1"/>
      <w:numFmt w:val="lowerLetter"/>
      <w:lvlText w:val="%5."/>
      <w:lvlJc w:val="left"/>
      <w:pPr>
        <w:ind w:left="4593" w:hanging="360"/>
      </w:pPr>
      <w:rPr>
        <w:rFonts w:hint="default"/>
      </w:rPr>
    </w:lvl>
    <w:lvl w:ilvl="5">
      <w:start w:val="1"/>
      <w:numFmt w:val="lowerRoman"/>
      <w:lvlText w:val="%6."/>
      <w:lvlJc w:val="right"/>
      <w:pPr>
        <w:ind w:left="5313" w:hanging="180"/>
      </w:pPr>
      <w:rPr>
        <w:rFonts w:hint="default"/>
      </w:rPr>
    </w:lvl>
    <w:lvl w:ilvl="6">
      <w:start w:val="1"/>
      <w:numFmt w:val="decimal"/>
      <w:lvlText w:val="%7."/>
      <w:lvlJc w:val="left"/>
      <w:pPr>
        <w:ind w:left="6033" w:hanging="360"/>
      </w:pPr>
      <w:rPr>
        <w:rFonts w:hint="default"/>
      </w:rPr>
    </w:lvl>
    <w:lvl w:ilvl="7">
      <w:start w:val="1"/>
      <w:numFmt w:val="lowerLetter"/>
      <w:lvlText w:val="%8."/>
      <w:lvlJc w:val="left"/>
      <w:pPr>
        <w:ind w:left="6753" w:hanging="360"/>
      </w:pPr>
      <w:rPr>
        <w:rFonts w:hint="default"/>
      </w:rPr>
    </w:lvl>
    <w:lvl w:ilvl="8">
      <w:start w:val="1"/>
      <w:numFmt w:val="lowerRoman"/>
      <w:lvlText w:val="%9."/>
      <w:lvlJc w:val="right"/>
      <w:pPr>
        <w:ind w:left="7473" w:hanging="180"/>
      </w:pPr>
      <w:rPr>
        <w:rFonts w:hint="default"/>
      </w:rPr>
    </w:lvl>
  </w:abstractNum>
  <w:abstractNum w:abstractNumId="6" w15:restartNumberingAfterBreak="0">
    <w:nsid w:val="22B35421"/>
    <w:multiLevelType w:val="hybridMultilevel"/>
    <w:tmpl w:val="D1B6EC78"/>
    <w:lvl w:ilvl="0" w:tplc="302E9BDC">
      <w:start w:val="1"/>
      <w:numFmt w:val="decimal"/>
      <w:lvlText w:val="(%1)"/>
      <w:lvlJc w:val="left"/>
      <w:pPr>
        <w:ind w:left="777" w:hanging="360"/>
      </w:pPr>
      <w:rPr>
        <w:rFonts w:hint="default"/>
      </w:rPr>
    </w:lvl>
    <w:lvl w:ilvl="1" w:tplc="280A0019" w:tentative="1">
      <w:start w:val="1"/>
      <w:numFmt w:val="lowerLetter"/>
      <w:lvlText w:val="%2."/>
      <w:lvlJc w:val="left"/>
      <w:pPr>
        <w:ind w:left="1497" w:hanging="360"/>
      </w:pPr>
    </w:lvl>
    <w:lvl w:ilvl="2" w:tplc="280A001B" w:tentative="1">
      <w:start w:val="1"/>
      <w:numFmt w:val="lowerRoman"/>
      <w:lvlText w:val="%3."/>
      <w:lvlJc w:val="right"/>
      <w:pPr>
        <w:ind w:left="2217" w:hanging="180"/>
      </w:pPr>
    </w:lvl>
    <w:lvl w:ilvl="3" w:tplc="280A000F" w:tentative="1">
      <w:start w:val="1"/>
      <w:numFmt w:val="decimal"/>
      <w:lvlText w:val="%4."/>
      <w:lvlJc w:val="left"/>
      <w:pPr>
        <w:ind w:left="2937" w:hanging="360"/>
      </w:pPr>
    </w:lvl>
    <w:lvl w:ilvl="4" w:tplc="280A0019" w:tentative="1">
      <w:start w:val="1"/>
      <w:numFmt w:val="lowerLetter"/>
      <w:lvlText w:val="%5."/>
      <w:lvlJc w:val="left"/>
      <w:pPr>
        <w:ind w:left="3657" w:hanging="360"/>
      </w:pPr>
    </w:lvl>
    <w:lvl w:ilvl="5" w:tplc="280A001B" w:tentative="1">
      <w:start w:val="1"/>
      <w:numFmt w:val="lowerRoman"/>
      <w:lvlText w:val="%6."/>
      <w:lvlJc w:val="right"/>
      <w:pPr>
        <w:ind w:left="4377" w:hanging="180"/>
      </w:pPr>
    </w:lvl>
    <w:lvl w:ilvl="6" w:tplc="280A000F" w:tentative="1">
      <w:start w:val="1"/>
      <w:numFmt w:val="decimal"/>
      <w:lvlText w:val="%7."/>
      <w:lvlJc w:val="left"/>
      <w:pPr>
        <w:ind w:left="5097" w:hanging="360"/>
      </w:pPr>
    </w:lvl>
    <w:lvl w:ilvl="7" w:tplc="280A0019" w:tentative="1">
      <w:start w:val="1"/>
      <w:numFmt w:val="lowerLetter"/>
      <w:lvlText w:val="%8."/>
      <w:lvlJc w:val="left"/>
      <w:pPr>
        <w:ind w:left="5817" w:hanging="360"/>
      </w:pPr>
    </w:lvl>
    <w:lvl w:ilvl="8" w:tplc="280A001B" w:tentative="1">
      <w:start w:val="1"/>
      <w:numFmt w:val="lowerRoman"/>
      <w:lvlText w:val="%9."/>
      <w:lvlJc w:val="right"/>
      <w:pPr>
        <w:ind w:left="6537" w:hanging="180"/>
      </w:pPr>
    </w:lvl>
  </w:abstractNum>
  <w:abstractNum w:abstractNumId="7" w15:restartNumberingAfterBreak="0">
    <w:nsid w:val="2478433D"/>
    <w:multiLevelType w:val="multilevel"/>
    <w:tmpl w:val="9686F78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3F431C"/>
    <w:multiLevelType w:val="multilevel"/>
    <w:tmpl w:val="9A7E795C"/>
    <w:lvl w:ilvl="0">
      <w:start w:val="1"/>
      <w:numFmt w:val="decimal"/>
      <w:lvlText w:val="%1"/>
      <w:lvlJc w:val="left"/>
      <w:pPr>
        <w:ind w:left="360" w:hanging="360"/>
      </w:pPr>
      <w:rPr>
        <w:rFonts w:hint="default"/>
        <w:b w:val="0"/>
      </w:rPr>
    </w:lvl>
    <w:lvl w:ilvl="1">
      <w:start w:val="1"/>
      <w:numFmt w:val="decimal"/>
      <w:lvlText w:val="%1.%2"/>
      <w:lvlJc w:val="left"/>
      <w:pPr>
        <w:ind w:left="644" w:hanging="360"/>
      </w:pPr>
      <w:rPr>
        <w:rFonts w:hint="default"/>
        <w:b w:val="0"/>
      </w:rPr>
    </w:lvl>
    <w:lvl w:ilvl="2">
      <w:start w:val="1"/>
      <w:numFmt w:val="decimal"/>
      <w:lvlText w:val="%1.%2.%3"/>
      <w:lvlJc w:val="left"/>
      <w:pPr>
        <w:ind w:left="1288" w:hanging="720"/>
      </w:pPr>
      <w:rPr>
        <w:rFonts w:hint="default"/>
        <w:b w:val="0"/>
      </w:rPr>
    </w:lvl>
    <w:lvl w:ilvl="3">
      <w:start w:val="1"/>
      <w:numFmt w:val="decimal"/>
      <w:lvlText w:val="%1.%2.%3.%4"/>
      <w:lvlJc w:val="left"/>
      <w:pPr>
        <w:ind w:left="1572" w:hanging="720"/>
      </w:pPr>
      <w:rPr>
        <w:rFonts w:hint="default"/>
        <w:b w:val="0"/>
      </w:rPr>
    </w:lvl>
    <w:lvl w:ilvl="4">
      <w:start w:val="1"/>
      <w:numFmt w:val="decimal"/>
      <w:lvlText w:val="%1.%2.%3.%4.%5"/>
      <w:lvlJc w:val="left"/>
      <w:pPr>
        <w:ind w:left="2216" w:hanging="1080"/>
      </w:pPr>
      <w:rPr>
        <w:rFonts w:hint="default"/>
        <w:b w:val="0"/>
      </w:rPr>
    </w:lvl>
    <w:lvl w:ilvl="5">
      <w:start w:val="1"/>
      <w:numFmt w:val="decimal"/>
      <w:lvlText w:val="%1.%2.%3.%4.%5.%6"/>
      <w:lvlJc w:val="left"/>
      <w:pPr>
        <w:ind w:left="2500" w:hanging="1080"/>
      </w:pPr>
      <w:rPr>
        <w:rFonts w:hint="default"/>
        <w:b w:val="0"/>
      </w:rPr>
    </w:lvl>
    <w:lvl w:ilvl="6">
      <w:start w:val="1"/>
      <w:numFmt w:val="decimal"/>
      <w:lvlText w:val="%1.%2.%3.%4.%5.%6.%7"/>
      <w:lvlJc w:val="left"/>
      <w:pPr>
        <w:ind w:left="3144" w:hanging="1440"/>
      </w:pPr>
      <w:rPr>
        <w:rFonts w:hint="default"/>
        <w:b w:val="0"/>
      </w:rPr>
    </w:lvl>
    <w:lvl w:ilvl="7">
      <w:start w:val="1"/>
      <w:numFmt w:val="decimal"/>
      <w:lvlText w:val="%1.%2.%3.%4.%5.%6.%7.%8"/>
      <w:lvlJc w:val="left"/>
      <w:pPr>
        <w:ind w:left="3428" w:hanging="1440"/>
      </w:pPr>
      <w:rPr>
        <w:rFonts w:hint="default"/>
        <w:b w:val="0"/>
      </w:rPr>
    </w:lvl>
    <w:lvl w:ilvl="8">
      <w:start w:val="1"/>
      <w:numFmt w:val="decimal"/>
      <w:lvlText w:val="%1.%2.%3.%4.%5.%6.%7.%8.%9"/>
      <w:lvlJc w:val="left"/>
      <w:pPr>
        <w:ind w:left="4072" w:hanging="1800"/>
      </w:pPr>
      <w:rPr>
        <w:rFonts w:hint="default"/>
        <w:b w:val="0"/>
      </w:rPr>
    </w:lvl>
  </w:abstractNum>
  <w:abstractNum w:abstractNumId="9" w15:restartNumberingAfterBreak="0">
    <w:nsid w:val="3CD32C3A"/>
    <w:multiLevelType w:val="hybridMultilevel"/>
    <w:tmpl w:val="489ABB20"/>
    <w:lvl w:ilvl="0" w:tplc="85544974">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B551182"/>
    <w:multiLevelType w:val="multilevel"/>
    <w:tmpl w:val="A7EA4972"/>
    <w:lvl w:ilvl="0">
      <w:start w:val="1"/>
      <w:numFmt w:val="decimal"/>
      <w:lvlText w:val="%1"/>
      <w:lvlJc w:val="left"/>
      <w:pPr>
        <w:ind w:left="360" w:hanging="360"/>
      </w:pPr>
      <w:rPr>
        <w:rFonts w:hint="default"/>
      </w:rPr>
    </w:lvl>
    <w:lvl w:ilvl="1">
      <w:start w:val="5"/>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1" w15:restartNumberingAfterBreak="0">
    <w:nsid w:val="62A51C02"/>
    <w:multiLevelType w:val="multilevel"/>
    <w:tmpl w:val="63727A1A"/>
    <w:lvl w:ilvl="0">
      <w:start w:val="1"/>
      <w:numFmt w:val="decimal"/>
      <w:lvlText w:val="%1."/>
      <w:lvlJc w:val="left"/>
      <w:pPr>
        <w:ind w:left="721"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7" w:hanging="720"/>
      </w:pPr>
      <w:rPr>
        <w:rFonts w:hint="default"/>
      </w:rPr>
    </w:lvl>
    <w:lvl w:ilvl="3">
      <w:start w:val="1"/>
      <w:numFmt w:val="decimal"/>
      <w:isLgl/>
      <w:lvlText w:val="%1.%2.%3.%4"/>
      <w:lvlJc w:val="left"/>
      <w:pPr>
        <w:ind w:left="2125" w:hanging="720"/>
      </w:pPr>
      <w:rPr>
        <w:rFonts w:hint="default"/>
      </w:rPr>
    </w:lvl>
    <w:lvl w:ilvl="4">
      <w:start w:val="1"/>
      <w:numFmt w:val="decimal"/>
      <w:isLgl/>
      <w:lvlText w:val="%1.%2.%3.%4.%5"/>
      <w:lvlJc w:val="left"/>
      <w:pPr>
        <w:ind w:left="2473" w:hanging="720"/>
      </w:pPr>
      <w:rPr>
        <w:rFonts w:hint="default"/>
      </w:rPr>
    </w:lvl>
    <w:lvl w:ilvl="5">
      <w:start w:val="1"/>
      <w:numFmt w:val="decimal"/>
      <w:isLgl/>
      <w:lvlText w:val="%1.%2.%3.%4.%5.%6"/>
      <w:lvlJc w:val="left"/>
      <w:pPr>
        <w:ind w:left="3181" w:hanging="1080"/>
      </w:pPr>
      <w:rPr>
        <w:rFonts w:hint="default"/>
      </w:rPr>
    </w:lvl>
    <w:lvl w:ilvl="6">
      <w:start w:val="1"/>
      <w:numFmt w:val="decimal"/>
      <w:isLgl/>
      <w:lvlText w:val="%1.%2.%3.%4.%5.%6.%7"/>
      <w:lvlJc w:val="left"/>
      <w:pPr>
        <w:ind w:left="3529" w:hanging="1080"/>
      </w:pPr>
      <w:rPr>
        <w:rFonts w:hint="default"/>
      </w:rPr>
    </w:lvl>
    <w:lvl w:ilvl="7">
      <w:start w:val="1"/>
      <w:numFmt w:val="decimal"/>
      <w:isLgl/>
      <w:lvlText w:val="%1.%2.%3.%4.%5.%6.%7.%8"/>
      <w:lvlJc w:val="left"/>
      <w:pPr>
        <w:ind w:left="4237" w:hanging="1440"/>
      </w:pPr>
      <w:rPr>
        <w:rFonts w:hint="default"/>
      </w:rPr>
    </w:lvl>
    <w:lvl w:ilvl="8">
      <w:start w:val="1"/>
      <w:numFmt w:val="decimal"/>
      <w:isLgl/>
      <w:lvlText w:val="%1.%2.%3.%4.%5.%6.%7.%8.%9"/>
      <w:lvlJc w:val="left"/>
      <w:pPr>
        <w:ind w:left="4585" w:hanging="1440"/>
      </w:pPr>
      <w:rPr>
        <w:rFonts w:hint="default"/>
      </w:rPr>
    </w:lvl>
  </w:abstractNum>
  <w:abstractNum w:abstractNumId="12" w15:restartNumberingAfterBreak="0">
    <w:nsid w:val="66D849A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FE14C9A"/>
    <w:multiLevelType w:val="hybridMultilevel"/>
    <w:tmpl w:val="04187D24"/>
    <w:lvl w:ilvl="0" w:tplc="4072E454">
      <w:start w:val="1"/>
      <w:numFmt w:val="decimal"/>
      <w:lvlText w:val="%1."/>
      <w:lvlJc w:val="left"/>
      <w:pPr>
        <w:ind w:left="1211" w:hanging="360"/>
      </w:pPr>
      <w:rPr>
        <w:rFonts w:hint="default"/>
      </w:rPr>
    </w:lvl>
    <w:lvl w:ilvl="1" w:tplc="280A0019">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14" w15:restartNumberingAfterBreak="0">
    <w:nsid w:val="7D0035DD"/>
    <w:multiLevelType w:val="multilevel"/>
    <w:tmpl w:val="E6FACC2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FC15A9B"/>
    <w:multiLevelType w:val="hybridMultilevel"/>
    <w:tmpl w:val="8DCEB6B0"/>
    <w:lvl w:ilvl="0" w:tplc="AF2CB8E6">
      <w:start w:val="1"/>
      <w:numFmt w:val="decimal"/>
      <w:lvlText w:val="(%1)"/>
      <w:lvlJc w:val="left"/>
      <w:pPr>
        <w:ind w:left="777" w:hanging="360"/>
      </w:pPr>
      <w:rPr>
        <w:rFonts w:hint="default"/>
      </w:rPr>
    </w:lvl>
    <w:lvl w:ilvl="1" w:tplc="280A0019" w:tentative="1">
      <w:start w:val="1"/>
      <w:numFmt w:val="lowerLetter"/>
      <w:lvlText w:val="%2."/>
      <w:lvlJc w:val="left"/>
      <w:pPr>
        <w:ind w:left="1497" w:hanging="360"/>
      </w:pPr>
    </w:lvl>
    <w:lvl w:ilvl="2" w:tplc="280A001B" w:tentative="1">
      <w:start w:val="1"/>
      <w:numFmt w:val="lowerRoman"/>
      <w:lvlText w:val="%3."/>
      <w:lvlJc w:val="right"/>
      <w:pPr>
        <w:ind w:left="2217" w:hanging="180"/>
      </w:pPr>
    </w:lvl>
    <w:lvl w:ilvl="3" w:tplc="280A000F" w:tentative="1">
      <w:start w:val="1"/>
      <w:numFmt w:val="decimal"/>
      <w:lvlText w:val="%4."/>
      <w:lvlJc w:val="left"/>
      <w:pPr>
        <w:ind w:left="2937" w:hanging="360"/>
      </w:pPr>
    </w:lvl>
    <w:lvl w:ilvl="4" w:tplc="280A0019" w:tentative="1">
      <w:start w:val="1"/>
      <w:numFmt w:val="lowerLetter"/>
      <w:lvlText w:val="%5."/>
      <w:lvlJc w:val="left"/>
      <w:pPr>
        <w:ind w:left="3657" w:hanging="360"/>
      </w:pPr>
    </w:lvl>
    <w:lvl w:ilvl="5" w:tplc="280A001B" w:tentative="1">
      <w:start w:val="1"/>
      <w:numFmt w:val="lowerRoman"/>
      <w:lvlText w:val="%6."/>
      <w:lvlJc w:val="right"/>
      <w:pPr>
        <w:ind w:left="4377" w:hanging="180"/>
      </w:pPr>
    </w:lvl>
    <w:lvl w:ilvl="6" w:tplc="280A000F" w:tentative="1">
      <w:start w:val="1"/>
      <w:numFmt w:val="decimal"/>
      <w:lvlText w:val="%7."/>
      <w:lvlJc w:val="left"/>
      <w:pPr>
        <w:ind w:left="5097" w:hanging="360"/>
      </w:pPr>
    </w:lvl>
    <w:lvl w:ilvl="7" w:tplc="280A0019" w:tentative="1">
      <w:start w:val="1"/>
      <w:numFmt w:val="lowerLetter"/>
      <w:lvlText w:val="%8."/>
      <w:lvlJc w:val="left"/>
      <w:pPr>
        <w:ind w:left="5817" w:hanging="360"/>
      </w:pPr>
    </w:lvl>
    <w:lvl w:ilvl="8" w:tplc="280A001B" w:tentative="1">
      <w:start w:val="1"/>
      <w:numFmt w:val="lowerRoman"/>
      <w:lvlText w:val="%9."/>
      <w:lvlJc w:val="right"/>
      <w:pPr>
        <w:ind w:left="6537" w:hanging="180"/>
      </w:pPr>
    </w:lvl>
  </w:abstractNum>
  <w:num w:numId="1" w16cid:durableId="199129613">
    <w:abstractNumId w:val="11"/>
  </w:num>
  <w:num w:numId="2" w16cid:durableId="1194808941">
    <w:abstractNumId w:val="0"/>
  </w:num>
  <w:num w:numId="3" w16cid:durableId="829252150">
    <w:abstractNumId w:val="1"/>
  </w:num>
  <w:num w:numId="4" w16cid:durableId="1084424249">
    <w:abstractNumId w:val="15"/>
  </w:num>
  <w:num w:numId="5" w16cid:durableId="1992905449">
    <w:abstractNumId w:val="3"/>
  </w:num>
  <w:num w:numId="6" w16cid:durableId="2059015515">
    <w:abstractNumId w:val="12"/>
  </w:num>
  <w:num w:numId="7" w16cid:durableId="242683541">
    <w:abstractNumId w:val="14"/>
  </w:num>
  <w:num w:numId="8" w16cid:durableId="1331441983">
    <w:abstractNumId w:val="6"/>
  </w:num>
  <w:num w:numId="9" w16cid:durableId="526600202">
    <w:abstractNumId w:val="9"/>
  </w:num>
  <w:num w:numId="10" w16cid:durableId="1788550530">
    <w:abstractNumId w:val="4"/>
  </w:num>
  <w:num w:numId="11" w16cid:durableId="1841501063">
    <w:abstractNumId w:val="5"/>
  </w:num>
  <w:num w:numId="12" w16cid:durableId="523398835">
    <w:abstractNumId w:val="2"/>
  </w:num>
  <w:num w:numId="13" w16cid:durableId="846822887">
    <w:abstractNumId w:val="13"/>
  </w:num>
  <w:num w:numId="14" w16cid:durableId="1495533203">
    <w:abstractNumId w:val="8"/>
  </w:num>
  <w:num w:numId="15" w16cid:durableId="968702588">
    <w:abstractNumId w:val="7"/>
  </w:num>
  <w:num w:numId="16" w16cid:durableId="6204536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hideSpellingErrors/>
  <w:hideGrammaticalErrors/>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O1MLcwMDMzNDM1NzRU0lEKTi0uzszPAykwrgUA6HJdmSwAAAA="/>
  </w:docVars>
  <w:rsids>
    <w:rsidRoot w:val="00A873D0"/>
    <w:rsid w:val="00016918"/>
    <w:rsid w:val="0002077F"/>
    <w:rsid w:val="0005570F"/>
    <w:rsid w:val="00062B0C"/>
    <w:rsid w:val="00073404"/>
    <w:rsid w:val="00074F6A"/>
    <w:rsid w:val="00092C24"/>
    <w:rsid w:val="000B24F5"/>
    <w:rsid w:val="000B2F12"/>
    <w:rsid w:val="000B4EB8"/>
    <w:rsid w:val="000E6E90"/>
    <w:rsid w:val="000F0227"/>
    <w:rsid w:val="000F2E83"/>
    <w:rsid w:val="001122C1"/>
    <w:rsid w:val="00117AE4"/>
    <w:rsid w:val="00125EDC"/>
    <w:rsid w:val="0014645C"/>
    <w:rsid w:val="001651EA"/>
    <w:rsid w:val="001772FD"/>
    <w:rsid w:val="00183FB2"/>
    <w:rsid w:val="00190CBD"/>
    <w:rsid w:val="00191B16"/>
    <w:rsid w:val="00193462"/>
    <w:rsid w:val="001A6123"/>
    <w:rsid w:val="001B42C1"/>
    <w:rsid w:val="001E61ED"/>
    <w:rsid w:val="001F46A0"/>
    <w:rsid w:val="001F6D9D"/>
    <w:rsid w:val="00212904"/>
    <w:rsid w:val="002318E7"/>
    <w:rsid w:val="0025410F"/>
    <w:rsid w:val="002647F1"/>
    <w:rsid w:val="002762A8"/>
    <w:rsid w:val="00280730"/>
    <w:rsid w:val="00283665"/>
    <w:rsid w:val="002836B3"/>
    <w:rsid w:val="002A499B"/>
    <w:rsid w:val="002C55E4"/>
    <w:rsid w:val="002D6343"/>
    <w:rsid w:val="003076EA"/>
    <w:rsid w:val="0031123D"/>
    <w:rsid w:val="00313F9E"/>
    <w:rsid w:val="003346D8"/>
    <w:rsid w:val="003555FA"/>
    <w:rsid w:val="00361B93"/>
    <w:rsid w:val="00366B63"/>
    <w:rsid w:val="00380630"/>
    <w:rsid w:val="003818D0"/>
    <w:rsid w:val="0038397A"/>
    <w:rsid w:val="00393508"/>
    <w:rsid w:val="003A5DB6"/>
    <w:rsid w:val="003C616A"/>
    <w:rsid w:val="003D34CA"/>
    <w:rsid w:val="003E01CA"/>
    <w:rsid w:val="003E3AC0"/>
    <w:rsid w:val="004033C0"/>
    <w:rsid w:val="00417355"/>
    <w:rsid w:val="00431DEE"/>
    <w:rsid w:val="004520C1"/>
    <w:rsid w:val="00486591"/>
    <w:rsid w:val="004922A5"/>
    <w:rsid w:val="004A2CE1"/>
    <w:rsid w:val="004B7929"/>
    <w:rsid w:val="004C50A0"/>
    <w:rsid w:val="004D142D"/>
    <w:rsid w:val="004D16A0"/>
    <w:rsid w:val="004F15B2"/>
    <w:rsid w:val="004F2EDD"/>
    <w:rsid w:val="00511D18"/>
    <w:rsid w:val="0054575C"/>
    <w:rsid w:val="0056218F"/>
    <w:rsid w:val="00592820"/>
    <w:rsid w:val="0059735D"/>
    <w:rsid w:val="005A0287"/>
    <w:rsid w:val="005A294E"/>
    <w:rsid w:val="005B632D"/>
    <w:rsid w:val="005C19DF"/>
    <w:rsid w:val="005C3630"/>
    <w:rsid w:val="005E3E2D"/>
    <w:rsid w:val="005E779D"/>
    <w:rsid w:val="005F4CE8"/>
    <w:rsid w:val="005F79F2"/>
    <w:rsid w:val="006123C6"/>
    <w:rsid w:val="00613B2E"/>
    <w:rsid w:val="00615E48"/>
    <w:rsid w:val="00624812"/>
    <w:rsid w:val="00657F0A"/>
    <w:rsid w:val="006638FE"/>
    <w:rsid w:val="00673E8C"/>
    <w:rsid w:val="00680B36"/>
    <w:rsid w:val="00692D60"/>
    <w:rsid w:val="006A70EA"/>
    <w:rsid w:val="006D22D3"/>
    <w:rsid w:val="006D3795"/>
    <w:rsid w:val="006E4193"/>
    <w:rsid w:val="00713F54"/>
    <w:rsid w:val="0071564C"/>
    <w:rsid w:val="00733C76"/>
    <w:rsid w:val="0074414E"/>
    <w:rsid w:val="00764BFA"/>
    <w:rsid w:val="007966AB"/>
    <w:rsid w:val="007B03A9"/>
    <w:rsid w:val="007C163F"/>
    <w:rsid w:val="007E093B"/>
    <w:rsid w:val="007E3CC6"/>
    <w:rsid w:val="007E59DF"/>
    <w:rsid w:val="007F3096"/>
    <w:rsid w:val="008114A3"/>
    <w:rsid w:val="00813250"/>
    <w:rsid w:val="00826EB6"/>
    <w:rsid w:val="008534F0"/>
    <w:rsid w:val="00873781"/>
    <w:rsid w:val="00883A60"/>
    <w:rsid w:val="00895C49"/>
    <w:rsid w:val="0089635E"/>
    <w:rsid w:val="008A7EC1"/>
    <w:rsid w:val="008D4869"/>
    <w:rsid w:val="0090132F"/>
    <w:rsid w:val="00904D72"/>
    <w:rsid w:val="00906044"/>
    <w:rsid w:val="009067F2"/>
    <w:rsid w:val="00907D8E"/>
    <w:rsid w:val="0094368E"/>
    <w:rsid w:val="00962913"/>
    <w:rsid w:val="00962A18"/>
    <w:rsid w:val="009673BA"/>
    <w:rsid w:val="009B61A2"/>
    <w:rsid w:val="009C5DE4"/>
    <w:rsid w:val="009D7824"/>
    <w:rsid w:val="009E0A6E"/>
    <w:rsid w:val="009E1104"/>
    <w:rsid w:val="00A01596"/>
    <w:rsid w:val="00A046BF"/>
    <w:rsid w:val="00A36673"/>
    <w:rsid w:val="00A706A3"/>
    <w:rsid w:val="00A873D0"/>
    <w:rsid w:val="00AA127B"/>
    <w:rsid w:val="00AB63A7"/>
    <w:rsid w:val="00AC11AB"/>
    <w:rsid w:val="00AC63D5"/>
    <w:rsid w:val="00AD2C72"/>
    <w:rsid w:val="00AD55DA"/>
    <w:rsid w:val="00B0729B"/>
    <w:rsid w:val="00B358AA"/>
    <w:rsid w:val="00B370C1"/>
    <w:rsid w:val="00B466F1"/>
    <w:rsid w:val="00B521AA"/>
    <w:rsid w:val="00B5732D"/>
    <w:rsid w:val="00B8015B"/>
    <w:rsid w:val="00B81B21"/>
    <w:rsid w:val="00B95D67"/>
    <w:rsid w:val="00BC0452"/>
    <w:rsid w:val="00BC6894"/>
    <w:rsid w:val="00BE01F6"/>
    <w:rsid w:val="00BE1D9A"/>
    <w:rsid w:val="00BF5023"/>
    <w:rsid w:val="00BF7116"/>
    <w:rsid w:val="00C21336"/>
    <w:rsid w:val="00C27D8D"/>
    <w:rsid w:val="00C45509"/>
    <w:rsid w:val="00C47DC2"/>
    <w:rsid w:val="00C71A99"/>
    <w:rsid w:val="00C71C4F"/>
    <w:rsid w:val="00C967DE"/>
    <w:rsid w:val="00CD0E97"/>
    <w:rsid w:val="00CE4512"/>
    <w:rsid w:val="00D00B62"/>
    <w:rsid w:val="00D22D84"/>
    <w:rsid w:val="00D30038"/>
    <w:rsid w:val="00D67748"/>
    <w:rsid w:val="00D82E71"/>
    <w:rsid w:val="00DA2B1C"/>
    <w:rsid w:val="00DB0333"/>
    <w:rsid w:val="00DD3FA8"/>
    <w:rsid w:val="00DE6454"/>
    <w:rsid w:val="00DE6A66"/>
    <w:rsid w:val="00DF2A4C"/>
    <w:rsid w:val="00DF2A9D"/>
    <w:rsid w:val="00E01723"/>
    <w:rsid w:val="00E218EF"/>
    <w:rsid w:val="00E2499B"/>
    <w:rsid w:val="00E25925"/>
    <w:rsid w:val="00E37638"/>
    <w:rsid w:val="00E73EC4"/>
    <w:rsid w:val="00E929D5"/>
    <w:rsid w:val="00E93D92"/>
    <w:rsid w:val="00EC36B2"/>
    <w:rsid w:val="00EC6100"/>
    <w:rsid w:val="00EC6D1F"/>
    <w:rsid w:val="00EC7CF3"/>
    <w:rsid w:val="00EE5332"/>
    <w:rsid w:val="00EE7CF5"/>
    <w:rsid w:val="00EE7DA2"/>
    <w:rsid w:val="00EF5258"/>
    <w:rsid w:val="00EF7AFE"/>
    <w:rsid w:val="00F015D6"/>
    <w:rsid w:val="00F347C2"/>
    <w:rsid w:val="00F67CCC"/>
    <w:rsid w:val="00F77875"/>
    <w:rsid w:val="00F83298"/>
    <w:rsid w:val="00F84F03"/>
    <w:rsid w:val="00F9179D"/>
    <w:rsid w:val="00FA70E9"/>
    <w:rsid w:val="00FB7BEA"/>
    <w:rsid w:val="00FD6D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96AB2"/>
  <w15:docId w15:val="{06FCC7A8-1F32-465F-A5C0-C0E92A6B4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3D0"/>
    <w:rPr>
      <w:rFonts w:ascii="Calibri" w:eastAsia="Calibri" w:hAnsi="Calibri" w:cs="Times New Roman"/>
    </w:rPr>
  </w:style>
  <w:style w:type="paragraph" w:styleId="Ttulo1">
    <w:name w:val="heading 1"/>
    <w:basedOn w:val="Normal"/>
    <w:next w:val="Normal"/>
    <w:link w:val="Ttulo1Car"/>
    <w:uiPriority w:val="9"/>
    <w:qFormat/>
    <w:rsid w:val="00AD2C72"/>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s-PE" w:eastAsia="es-PE"/>
    </w:rPr>
  </w:style>
  <w:style w:type="paragraph" w:styleId="Ttulo2">
    <w:name w:val="heading 2"/>
    <w:basedOn w:val="Normal"/>
    <w:next w:val="Normal"/>
    <w:link w:val="Ttulo2Car"/>
    <w:uiPriority w:val="99"/>
    <w:unhideWhenUsed/>
    <w:qFormat/>
    <w:rsid w:val="00C45509"/>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s-PE" w:eastAsia="es-PE"/>
    </w:rPr>
  </w:style>
  <w:style w:type="paragraph" w:styleId="Ttulo5">
    <w:name w:val="heading 5"/>
    <w:basedOn w:val="Normal"/>
    <w:next w:val="Normal"/>
    <w:link w:val="Ttulo5Car"/>
    <w:uiPriority w:val="9"/>
    <w:semiHidden/>
    <w:unhideWhenUsed/>
    <w:qFormat/>
    <w:rsid w:val="00613B2E"/>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873D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1Car">
    <w:name w:val="Título 1 Car"/>
    <w:basedOn w:val="Fuentedeprrafopredeter"/>
    <w:link w:val="Ttulo1"/>
    <w:uiPriority w:val="9"/>
    <w:rsid w:val="00AD2C72"/>
    <w:rPr>
      <w:rFonts w:asciiTheme="majorHAnsi" w:eastAsiaTheme="majorEastAsia" w:hAnsiTheme="majorHAnsi" w:cstheme="majorBidi"/>
      <w:b/>
      <w:bCs/>
      <w:color w:val="365F91" w:themeColor="accent1" w:themeShade="BF"/>
      <w:sz w:val="28"/>
      <w:szCs w:val="28"/>
      <w:lang w:val="es-PE" w:eastAsia="es-PE"/>
    </w:rPr>
  </w:style>
  <w:style w:type="character" w:customStyle="1" w:styleId="Ttulo2Car">
    <w:name w:val="Título 2 Car"/>
    <w:basedOn w:val="Fuentedeprrafopredeter"/>
    <w:link w:val="Ttulo2"/>
    <w:uiPriority w:val="99"/>
    <w:rsid w:val="00C45509"/>
    <w:rPr>
      <w:rFonts w:asciiTheme="majorHAnsi" w:eastAsiaTheme="majorEastAsia" w:hAnsiTheme="majorHAnsi" w:cstheme="majorBidi"/>
      <w:b/>
      <w:bCs/>
      <w:color w:val="4F81BD" w:themeColor="accent1"/>
      <w:sz w:val="26"/>
      <w:szCs w:val="26"/>
      <w:lang w:val="es-PE" w:eastAsia="es-PE"/>
    </w:rPr>
  </w:style>
  <w:style w:type="paragraph" w:styleId="Textodeglobo">
    <w:name w:val="Balloon Text"/>
    <w:basedOn w:val="Normal"/>
    <w:link w:val="TextodegloboCar"/>
    <w:uiPriority w:val="99"/>
    <w:semiHidden/>
    <w:unhideWhenUsed/>
    <w:rsid w:val="00C45509"/>
    <w:pPr>
      <w:spacing w:after="0" w:line="240" w:lineRule="auto"/>
    </w:pPr>
    <w:rPr>
      <w:rFonts w:ascii="Tahoma" w:eastAsia="Times New Roman" w:hAnsi="Tahoma" w:cs="Tahoma"/>
      <w:sz w:val="16"/>
      <w:szCs w:val="16"/>
      <w:lang w:val="es-PE" w:eastAsia="es-PE"/>
    </w:rPr>
  </w:style>
  <w:style w:type="character" w:customStyle="1" w:styleId="TextodegloboCar">
    <w:name w:val="Texto de globo Car"/>
    <w:basedOn w:val="Fuentedeprrafopredeter"/>
    <w:link w:val="Textodeglobo"/>
    <w:uiPriority w:val="99"/>
    <w:semiHidden/>
    <w:rsid w:val="00C45509"/>
    <w:rPr>
      <w:rFonts w:ascii="Tahoma" w:eastAsia="Times New Roman" w:hAnsi="Tahoma" w:cs="Tahoma"/>
      <w:sz w:val="16"/>
      <w:szCs w:val="16"/>
      <w:lang w:val="es-PE" w:eastAsia="es-PE"/>
    </w:rPr>
  </w:style>
  <w:style w:type="paragraph" w:styleId="Prrafodelista">
    <w:name w:val="List Paragraph"/>
    <w:basedOn w:val="Normal"/>
    <w:link w:val="PrrafodelistaCar"/>
    <w:uiPriority w:val="34"/>
    <w:qFormat/>
    <w:rsid w:val="00C45509"/>
    <w:pPr>
      <w:spacing w:after="0" w:line="240" w:lineRule="auto"/>
      <w:ind w:left="720"/>
      <w:contextualSpacing/>
    </w:pPr>
    <w:rPr>
      <w:rFonts w:ascii="Times New Roman" w:eastAsia="Times New Roman" w:hAnsi="Times New Roman"/>
      <w:sz w:val="24"/>
      <w:szCs w:val="24"/>
      <w:lang w:eastAsia="es-ES"/>
    </w:rPr>
  </w:style>
  <w:style w:type="character" w:customStyle="1" w:styleId="PrrafodelistaCar">
    <w:name w:val="Párrafo de lista Car"/>
    <w:link w:val="Prrafodelista"/>
    <w:uiPriority w:val="34"/>
    <w:locked/>
    <w:rsid w:val="00C45509"/>
    <w:rPr>
      <w:rFonts w:ascii="Times New Roman" w:eastAsia="Times New Roman" w:hAnsi="Times New Roman" w:cs="Times New Roman"/>
      <w:sz w:val="24"/>
      <w:szCs w:val="24"/>
      <w:lang w:eastAsia="es-ES"/>
    </w:rPr>
  </w:style>
  <w:style w:type="paragraph" w:customStyle="1" w:styleId="EndNoteBibliography">
    <w:name w:val="EndNote Bibliography"/>
    <w:basedOn w:val="Normal"/>
    <w:link w:val="EndNoteBibliographyCar"/>
    <w:rsid w:val="003C616A"/>
    <w:pPr>
      <w:spacing w:after="0" w:line="240" w:lineRule="auto"/>
      <w:jc w:val="both"/>
    </w:pPr>
    <w:rPr>
      <w:rFonts w:ascii="@Arial Unicode MS" w:eastAsia="@Arial Unicode MS" w:hAnsi="@Arial Unicode MS" w:cs="@Arial Unicode MS"/>
      <w:noProof/>
      <w:sz w:val="24"/>
      <w:szCs w:val="24"/>
      <w:lang w:val="es-PE" w:eastAsia="es-PE"/>
    </w:rPr>
  </w:style>
  <w:style w:type="character" w:customStyle="1" w:styleId="EndNoteBibliographyCar">
    <w:name w:val="EndNote Bibliography Car"/>
    <w:basedOn w:val="Fuentedeprrafopredeter"/>
    <w:link w:val="EndNoteBibliography"/>
    <w:rsid w:val="003C616A"/>
    <w:rPr>
      <w:rFonts w:ascii="@Arial Unicode MS" w:eastAsia="@Arial Unicode MS" w:hAnsi="@Arial Unicode MS" w:cs="@Arial Unicode MS"/>
      <w:noProof/>
      <w:sz w:val="24"/>
      <w:szCs w:val="24"/>
      <w:lang w:val="es-PE" w:eastAsia="es-PE"/>
    </w:rPr>
  </w:style>
  <w:style w:type="character" w:styleId="Hipervnculo">
    <w:name w:val="Hyperlink"/>
    <w:basedOn w:val="Fuentedeprrafopredeter"/>
    <w:uiPriority w:val="99"/>
    <w:unhideWhenUsed/>
    <w:rsid w:val="003C616A"/>
    <w:rPr>
      <w:color w:val="0000FF" w:themeColor="hyperlink"/>
      <w:u w:val="single"/>
    </w:rPr>
  </w:style>
  <w:style w:type="character" w:styleId="Refdecomentario">
    <w:name w:val="annotation reference"/>
    <w:basedOn w:val="Fuentedeprrafopredeter"/>
    <w:uiPriority w:val="99"/>
    <w:semiHidden/>
    <w:unhideWhenUsed/>
    <w:rsid w:val="00BC0452"/>
    <w:rPr>
      <w:sz w:val="16"/>
      <w:szCs w:val="16"/>
    </w:rPr>
  </w:style>
  <w:style w:type="paragraph" w:styleId="Textocomentario">
    <w:name w:val="annotation text"/>
    <w:basedOn w:val="Normal"/>
    <w:link w:val="TextocomentarioCar"/>
    <w:uiPriority w:val="99"/>
    <w:semiHidden/>
    <w:unhideWhenUsed/>
    <w:rsid w:val="00BC04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045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BC0452"/>
    <w:rPr>
      <w:b/>
      <w:bCs/>
    </w:rPr>
  </w:style>
  <w:style w:type="character" w:customStyle="1" w:styleId="AsuntodelcomentarioCar">
    <w:name w:val="Asunto del comentario Car"/>
    <w:basedOn w:val="TextocomentarioCar"/>
    <w:link w:val="Asuntodelcomentario"/>
    <w:uiPriority w:val="99"/>
    <w:semiHidden/>
    <w:rsid w:val="00BC0452"/>
    <w:rPr>
      <w:rFonts w:ascii="Calibri" w:eastAsia="Calibri" w:hAnsi="Calibri" w:cs="Times New Roman"/>
      <w:b/>
      <w:bCs/>
      <w:sz w:val="20"/>
      <w:szCs w:val="20"/>
    </w:rPr>
  </w:style>
  <w:style w:type="paragraph" w:styleId="Encabezado">
    <w:name w:val="header"/>
    <w:basedOn w:val="Normal"/>
    <w:link w:val="EncabezadoCar"/>
    <w:uiPriority w:val="99"/>
    <w:unhideWhenUsed/>
    <w:rsid w:val="000207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77F"/>
    <w:rPr>
      <w:rFonts w:ascii="Calibri" w:eastAsia="Calibri" w:hAnsi="Calibri" w:cs="Times New Roman"/>
    </w:rPr>
  </w:style>
  <w:style w:type="paragraph" w:styleId="Piedepgina">
    <w:name w:val="footer"/>
    <w:basedOn w:val="Normal"/>
    <w:link w:val="PiedepginaCar"/>
    <w:uiPriority w:val="99"/>
    <w:unhideWhenUsed/>
    <w:rsid w:val="000207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77F"/>
    <w:rPr>
      <w:rFonts w:ascii="Calibri" w:eastAsia="Calibri" w:hAnsi="Calibri" w:cs="Times New Roman"/>
    </w:rPr>
  </w:style>
  <w:style w:type="character" w:customStyle="1" w:styleId="Ttulo5Car">
    <w:name w:val="Título 5 Car"/>
    <w:basedOn w:val="Fuentedeprrafopredeter"/>
    <w:link w:val="Ttulo5"/>
    <w:uiPriority w:val="9"/>
    <w:semiHidden/>
    <w:rsid w:val="00613B2E"/>
    <w:rPr>
      <w:rFonts w:asciiTheme="majorHAnsi" w:eastAsiaTheme="majorEastAsia" w:hAnsiTheme="majorHAnsi" w:cstheme="majorBidi"/>
      <w:color w:val="365F91" w:themeColor="accent1" w:themeShade="BF"/>
    </w:rPr>
  </w:style>
  <w:style w:type="character" w:styleId="Mencinsinresolver">
    <w:name w:val="Unresolved Mention"/>
    <w:basedOn w:val="Fuentedeprrafopredeter"/>
    <w:uiPriority w:val="99"/>
    <w:semiHidden/>
    <w:unhideWhenUsed/>
    <w:rsid w:val="00713F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418064">
      <w:bodyDiv w:val="1"/>
      <w:marLeft w:val="0"/>
      <w:marRight w:val="0"/>
      <w:marTop w:val="0"/>
      <w:marBottom w:val="0"/>
      <w:divBdr>
        <w:top w:val="none" w:sz="0" w:space="0" w:color="auto"/>
        <w:left w:val="none" w:sz="0" w:space="0" w:color="auto"/>
        <w:bottom w:val="none" w:sz="0" w:space="0" w:color="auto"/>
        <w:right w:val="none" w:sz="0" w:space="0" w:color="auto"/>
      </w:divBdr>
      <w:divsChild>
        <w:div w:id="171529748">
          <w:marLeft w:val="0"/>
          <w:marRight w:val="0"/>
          <w:marTop w:val="0"/>
          <w:marBottom w:val="375"/>
          <w:divBdr>
            <w:top w:val="none" w:sz="0" w:space="0" w:color="auto"/>
            <w:left w:val="none" w:sz="0" w:space="0" w:color="auto"/>
            <w:bottom w:val="none" w:sz="0" w:space="0" w:color="auto"/>
            <w:right w:val="none" w:sz="0" w:space="0" w:color="auto"/>
          </w:divBdr>
          <w:divsChild>
            <w:div w:id="664020438">
              <w:marLeft w:val="0"/>
              <w:marRight w:val="0"/>
              <w:marTop w:val="0"/>
              <w:marBottom w:val="0"/>
              <w:divBdr>
                <w:top w:val="none" w:sz="0" w:space="0" w:color="auto"/>
                <w:left w:val="none" w:sz="0" w:space="0" w:color="auto"/>
                <w:bottom w:val="none" w:sz="0" w:space="0" w:color="auto"/>
                <w:right w:val="none" w:sz="0" w:space="0" w:color="auto"/>
              </w:divBdr>
            </w:div>
          </w:divsChild>
        </w:div>
        <w:div w:id="1533224307">
          <w:marLeft w:val="0"/>
          <w:marRight w:val="0"/>
          <w:marTop w:val="0"/>
          <w:marBottom w:val="375"/>
          <w:divBdr>
            <w:top w:val="none" w:sz="0" w:space="0" w:color="auto"/>
            <w:left w:val="none" w:sz="0" w:space="0" w:color="auto"/>
            <w:bottom w:val="none" w:sz="0" w:space="0" w:color="auto"/>
            <w:right w:val="none" w:sz="0" w:space="0" w:color="auto"/>
          </w:divBdr>
        </w:div>
      </w:divsChild>
    </w:div>
    <w:div w:id="115810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hyperlink" Target="mailto:russbelt.yaulilahua@unh.edu.pe" TargetMode="External" /><Relationship Id="rId12" Type="http://schemas.openxmlformats.org/officeDocument/2006/relationships/header" Target="header3.xm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footer" Target="footer4.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www"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5198</Words>
  <Characters>28592</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Dell</dc:creator>
  <cp:keywords/>
  <dc:description/>
  <cp:lastModifiedBy>amelec viloria</cp:lastModifiedBy>
  <cp:revision>2</cp:revision>
  <dcterms:created xsi:type="dcterms:W3CDTF">2023-11-03T20:57:00Z</dcterms:created>
  <dcterms:modified xsi:type="dcterms:W3CDTF">2023-11-03T20:57:00Z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573f7fdefa55e422722d1c9548d8a3286ebd5d17c5419f6cd68c9b9f128993c4</vt:lpwstr>
  </property>
</Properties>
</file>