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04B66" w14:textId="77777777" w:rsidR="00735CFB" w:rsidRPr="00992F1D" w:rsidRDefault="00735CFB" w:rsidP="00735CFB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14:paraId="7B09888E" w14:textId="28F49948" w:rsidR="00735CFB" w:rsidRDefault="00735CFB" w:rsidP="00735CFB">
      <w:pPr>
        <w:pStyle w:val="i-worksheettitle"/>
      </w:pPr>
      <w:r>
        <w:t xml:space="preserve">Chapter </w:t>
      </w:r>
      <w:r w:rsidR="009E46E6">
        <w:t>4</w:t>
      </w:r>
      <w:r>
        <w:t xml:space="preserve"> Volumetric analysis</w:t>
      </w:r>
    </w:p>
    <w:p w14:paraId="1D2D0ABE" w14:textId="77777777" w:rsidR="00BC685F" w:rsidRDefault="00BC685F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6401E3C7" w14:textId="77777777" w:rsidR="00BC685F" w:rsidRPr="00B63D5B" w:rsidRDefault="00BC685F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378C3172" w14:textId="77777777" w:rsidR="00BC685F" w:rsidRDefault="00BC685F" w:rsidP="009925CE">
      <w:pPr>
        <w:pStyle w:val="i-bodytextfo"/>
        <w:rPr>
          <w:rStyle w:val="i-bodytextbold"/>
        </w:rPr>
      </w:pPr>
    </w:p>
    <w:p w14:paraId="1851A853" w14:textId="77777777" w:rsidR="00BC685F" w:rsidRPr="00EB3510" w:rsidRDefault="00BC685F" w:rsidP="00BC685F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735CFB" w:rsidRPr="00450598" w14:paraId="5E8B2A33" w14:textId="77777777" w:rsidTr="00BC685F">
        <w:tc>
          <w:tcPr>
            <w:tcW w:w="470" w:type="dxa"/>
          </w:tcPr>
          <w:p w14:paraId="11B0FF77" w14:textId="77777777" w:rsidR="00735CFB" w:rsidRPr="00450598" w:rsidRDefault="00735CFB" w:rsidP="00A76C4A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4E453226" w14:textId="77777777" w:rsidR="00735CFB" w:rsidRPr="00450598" w:rsidRDefault="00735CFB" w:rsidP="00A76C4A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FA1C54E" w14:textId="77777777" w:rsidR="00735CFB" w:rsidRPr="00450598" w:rsidRDefault="00735CFB" w:rsidP="00A76C4A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0C1B1196" w14:textId="77777777" w:rsidR="00735CFB" w:rsidRPr="00450598" w:rsidRDefault="00735CFB" w:rsidP="00A76C4A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14:paraId="057E6F94" w14:textId="77777777" w:rsidR="00735CFB" w:rsidRPr="00450598" w:rsidRDefault="00735CFB" w:rsidP="00A76C4A">
            <w:pPr>
              <w:pStyle w:val="i-tablecolumnheadcentred"/>
            </w:pPr>
            <w:r>
              <w:t>Marks achieved</w:t>
            </w:r>
          </w:p>
        </w:tc>
      </w:tr>
      <w:tr w:rsidR="00735CFB" w:rsidRPr="00450598" w14:paraId="2136ED9B" w14:textId="77777777" w:rsidTr="00BC685F">
        <w:tc>
          <w:tcPr>
            <w:tcW w:w="470" w:type="dxa"/>
          </w:tcPr>
          <w:p w14:paraId="1BDED187" w14:textId="77777777" w:rsidR="00735CFB" w:rsidRPr="00450598" w:rsidRDefault="00735CFB" w:rsidP="00A76C4A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4E18EA34" w14:textId="77777777" w:rsidR="00735CFB" w:rsidRPr="00450598" w:rsidRDefault="00735CFB" w:rsidP="00D0696B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2CDDB5A4" w14:textId="77777777" w:rsidR="00735CFB" w:rsidRDefault="00735CFB" w:rsidP="00A76C4A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508E2BDE" w14:textId="77777777" w:rsidR="00735CFB" w:rsidRPr="00450598" w:rsidRDefault="00735CFB" w:rsidP="00A76C4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7935D4F0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32E2FB80" w14:textId="77777777" w:rsidTr="00BC685F">
        <w:tc>
          <w:tcPr>
            <w:tcW w:w="470" w:type="dxa"/>
          </w:tcPr>
          <w:p w14:paraId="534614DF" w14:textId="77777777" w:rsidR="00735CFB" w:rsidRPr="00450598" w:rsidRDefault="00735CFB" w:rsidP="00A76C4A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429B8661" w14:textId="77777777" w:rsidR="00735CFB" w:rsidRPr="00450598" w:rsidRDefault="00735CFB" w:rsidP="00D0696B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637F0922" w14:textId="77777777" w:rsidR="00735CFB" w:rsidRDefault="00735CFB" w:rsidP="00A76C4A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1B8E4BA6" w14:textId="77777777" w:rsidR="00735CFB" w:rsidRPr="00450598" w:rsidRDefault="00735CFB" w:rsidP="00A76C4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3CF8E12B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49702ACF" w14:textId="77777777" w:rsidTr="00BC685F">
        <w:tc>
          <w:tcPr>
            <w:tcW w:w="470" w:type="dxa"/>
          </w:tcPr>
          <w:p w14:paraId="48D71EEA" w14:textId="77777777" w:rsidR="00735CFB" w:rsidRPr="00450598" w:rsidRDefault="00735CFB" w:rsidP="00D0696B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7FC9C06F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79E862D3" w14:textId="77777777" w:rsidR="00735CFB" w:rsidRDefault="00735CFB" w:rsidP="00A76C4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63242645" w14:textId="77777777" w:rsidR="00735CFB" w:rsidRPr="00450598" w:rsidRDefault="00735CFB" w:rsidP="00A76C4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14:paraId="7CDD1B60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</w:p>
        </w:tc>
      </w:tr>
    </w:tbl>
    <w:p w14:paraId="34A78B49" w14:textId="77777777" w:rsidR="00BC685F" w:rsidRPr="00450598" w:rsidRDefault="00BC685F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1A973954" w14:textId="77777777" w:rsidR="00BC685F" w:rsidRPr="008977CE" w:rsidRDefault="00BC685F" w:rsidP="00BC685F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735CFB" w:rsidRPr="00450598" w14:paraId="45E8DC0B" w14:textId="77777777" w:rsidTr="00D0696B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30F7252" w14:textId="77777777" w:rsidR="00735CFB" w:rsidRPr="008977CE" w:rsidRDefault="00735CFB" w:rsidP="00A76C4A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2A1A23B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DD9A798" w14:textId="77777777" w:rsidR="00735CFB" w:rsidRPr="008977CE" w:rsidRDefault="00735CFB" w:rsidP="00A76C4A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1FF5D37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CA7EF81" w14:textId="77777777" w:rsidR="00735CFB" w:rsidRPr="008977CE" w:rsidRDefault="00735CFB" w:rsidP="00A76C4A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19C109C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B362E54" w14:textId="77777777" w:rsidR="00735CFB" w:rsidRPr="008977CE" w:rsidRDefault="00735CFB" w:rsidP="00A76C4A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89C1772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3C3C78" w14:textId="77777777" w:rsidR="00735CFB" w:rsidRPr="008977CE" w:rsidRDefault="00735CFB" w:rsidP="00A76C4A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CE88915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FDFBB06" w14:textId="77777777" w:rsidR="00735CFB" w:rsidRPr="008977CE" w:rsidRDefault="00735CFB" w:rsidP="00A76C4A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516D18F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7248DF" w14:textId="77777777" w:rsidR="00735CFB" w:rsidRPr="008977CE" w:rsidRDefault="00735CFB" w:rsidP="00A76C4A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6625878" w14:textId="77777777" w:rsidR="00735CFB" w:rsidRPr="00450598" w:rsidRDefault="00735CFB" w:rsidP="00D0696B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114E73C8" w14:textId="09CC644C" w:rsidR="00735CFB" w:rsidRDefault="00735CFB" w:rsidP="00BC685F">
      <w:pPr>
        <w:pStyle w:val="i-bodytextfo"/>
      </w:pPr>
    </w:p>
    <w:p w14:paraId="09BC74B6" w14:textId="77777777" w:rsidR="00735CFB" w:rsidRDefault="00735CFB" w:rsidP="00735CFB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14:paraId="0130749B" w14:textId="77777777" w:rsidR="00BC685F" w:rsidRPr="00D12D57" w:rsidRDefault="00BC685F" w:rsidP="00BC685F">
      <w:pPr>
        <w:pStyle w:val="i-bodytextfo"/>
        <w:rPr>
          <w:rStyle w:val="i-bodytextbold"/>
          <w:rFonts w:eastAsiaTheme="majorEastAsia"/>
        </w:rPr>
      </w:pPr>
    </w:p>
    <w:p w14:paraId="1DC6583F" w14:textId="77777777" w:rsidR="00BC685F" w:rsidRDefault="00BC685F" w:rsidP="00735CFB">
      <w:pPr>
        <w:pStyle w:val="i-notetoDTO"/>
      </w:pPr>
      <w:r>
        <w:br w:type="page"/>
      </w:r>
    </w:p>
    <w:p w14:paraId="37EFBC46" w14:textId="77777777" w:rsidR="00735CFB" w:rsidRPr="00D57475" w:rsidRDefault="00735CFB" w:rsidP="00735CFB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14:paraId="03169F87" w14:textId="77777777" w:rsidR="00735CFB" w:rsidRPr="00450598" w:rsidRDefault="00735CFB" w:rsidP="00735CFB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30B285AF" w14:textId="74ECF4D2" w:rsidR="002E3181" w:rsidRPr="0023081F" w:rsidRDefault="002E3181" w:rsidP="00735CFB">
      <w:pPr>
        <w:pStyle w:val="i-numberedlist1"/>
      </w:pPr>
      <w:r w:rsidRPr="00735CFB">
        <w:rPr>
          <w:rStyle w:val="i-listnumber"/>
        </w:rPr>
        <w:t>1</w:t>
      </w:r>
      <w:r w:rsidRPr="0023081F">
        <w:tab/>
      </w:r>
      <w:r w:rsidR="005E691E" w:rsidRPr="0023081F">
        <w:t>A 50</w:t>
      </w:r>
      <w:r w:rsidR="00BC685F">
        <w:t> </w:t>
      </w:r>
      <w:r w:rsidR="005E691E" w:rsidRPr="0023081F">
        <w:t>mL 0.2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  <w:r w:rsidR="005E691E" w:rsidRPr="0023081F">
        <w:t xml:space="preserve"> solution of NaOH is diluted to 500</w:t>
      </w:r>
      <w:r w:rsidR="00BC685F">
        <w:t> </w:t>
      </w:r>
      <w:r w:rsidR="005E691E" w:rsidRPr="0023081F">
        <w:t>mL with water. What is the final concentration of the NaOH?</w:t>
      </w:r>
    </w:p>
    <w:p w14:paraId="4BBF5FD8" w14:textId="480F4282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A</w:t>
      </w:r>
      <w:r w:rsidRPr="0023081F">
        <w:tab/>
      </w:r>
      <w:r w:rsidR="005E691E" w:rsidRPr="0023081F">
        <w:t>0.01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07CCB013" w14:textId="3A3C6F48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B</w:t>
      </w:r>
      <w:r w:rsidRPr="0023081F">
        <w:tab/>
      </w:r>
      <w:r w:rsidR="005E691E" w:rsidRPr="0023081F">
        <w:t>0.02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528B6AC5" w14:textId="0B3C2BE0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C</w:t>
      </w:r>
      <w:r w:rsidRPr="0023081F">
        <w:tab/>
      </w:r>
      <w:r w:rsidR="005E691E" w:rsidRPr="0023081F">
        <w:t>0.1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498BE54D" w14:textId="36605E74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D</w:t>
      </w:r>
      <w:r w:rsidRPr="0023081F">
        <w:tab/>
      </w:r>
      <w:r w:rsidR="005E691E" w:rsidRPr="0023081F">
        <w:t>0.2</w:t>
      </w:r>
      <w:r w:rsidR="00BC685F">
        <w:t> </w:t>
      </w:r>
      <w:r w:rsidR="005E691E" w:rsidRPr="0023081F">
        <w:t>mol</w:t>
      </w:r>
      <w:r w:rsidR="00BC685F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7CDF9394" w14:textId="4FE4E686" w:rsidR="002E3181" w:rsidRPr="00D73E33" w:rsidRDefault="0023081F" w:rsidP="009E1FD8">
      <w:pPr>
        <w:pStyle w:val="i-numberedlist1"/>
      </w:pPr>
      <w:r w:rsidRPr="009E1FD8">
        <w:rPr>
          <w:rStyle w:val="i-listnumber"/>
        </w:rPr>
        <w:t>2</w:t>
      </w:r>
      <w:r w:rsidR="002E3181" w:rsidRPr="00D73E33">
        <w:tab/>
      </w:r>
      <w:r w:rsidR="00E85756" w:rsidRPr="0023081F">
        <w:t xml:space="preserve">A sample of oxalic acid </w:t>
      </w:r>
      <w:r w:rsidR="009E1FD8">
        <w:t xml:space="preserve">is </w:t>
      </w:r>
      <w:r w:rsidR="00E85756" w:rsidRPr="0023081F">
        <w:t>pipetted into a small conical flask and titrated with NaOH solution from a burette. Which of the following lists the correct rinsing procedure?</w:t>
      </w:r>
    </w:p>
    <w:p w14:paraId="282DA2C2" w14:textId="1B6C7913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D73E33">
        <w:tab/>
      </w:r>
      <w:r w:rsidR="00E85756" w:rsidRPr="0023081F">
        <w:t>Rinse the pipette and flask with oxalic acid solution and the burette with NaOH</w:t>
      </w:r>
      <w:r w:rsidR="009E1FD8">
        <w:t>.</w:t>
      </w:r>
    </w:p>
    <w:p w14:paraId="79C9A80B" w14:textId="2B6D91F0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D73E33">
        <w:tab/>
      </w:r>
      <w:r w:rsidR="00E85756" w:rsidRPr="0023081F">
        <w:t>Rinse pipette and flask with oxalic solution and the burette with distilled water</w:t>
      </w:r>
      <w:r w:rsidR="009E1FD8">
        <w:t>.</w:t>
      </w:r>
    </w:p>
    <w:p w14:paraId="48409758" w14:textId="25847B55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D73E33">
        <w:tab/>
      </w:r>
      <w:r w:rsidR="00E85756" w:rsidRPr="00D73E33">
        <w:t>Rinse</w:t>
      </w:r>
      <w:r w:rsidR="00E85756" w:rsidRPr="0023081F">
        <w:t xml:space="preserve"> the pipette and flask with distilled water and the burette with NaOH</w:t>
      </w:r>
      <w:r w:rsidR="009E1FD8">
        <w:t>.</w:t>
      </w:r>
    </w:p>
    <w:p w14:paraId="70FAF3CA" w14:textId="667C28DE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D</w:t>
      </w:r>
      <w:r w:rsidRPr="00D73E33">
        <w:tab/>
      </w:r>
      <w:r w:rsidR="00E85756" w:rsidRPr="0023081F">
        <w:t>Rinse the pipette with oxalic acid, the flask with distilled water and the burette with NaOH</w:t>
      </w:r>
      <w:r w:rsidR="009E1FD8">
        <w:t>.</w:t>
      </w:r>
    </w:p>
    <w:p w14:paraId="4B626555" w14:textId="558B1C7C" w:rsidR="00E85756" w:rsidRPr="0023081F" w:rsidRDefault="00E85756" w:rsidP="009E1FD8">
      <w:pPr>
        <w:pStyle w:val="i-numberedlist1"/>
      </w:pPr>
      <w:r w:rsidRPr="009E1FD8">
        <w:rPr>
          <w:rStyle w:val="i-listnumber"/>
        </w:rPr>
        <w:t>3</w:t>
      </w:r>
      <w:r w:rsidRPr="0023081F">
        <w:tab/>
        <w:t>What is a standard solution?</w:t>
      </w:r>
    </w:p>
    <w:p w14:paraId="18D640E7" w14:textId="67B275DA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9E1FD8">
        <w:t>A</w:t>
      </w:r>
      <w:r w:rsidRPr="0023081F">
        <w:t xml:space="preserve"> solution whose concentration is to be determined</w:t>
      </w:r>
    </w:p>
    <w:p w14:paraId="6E849B48" w14:textId="0CCB20B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9E1FD8">
        <w:t>A</w:t>
      </w:r>
      <w:r w:rsidRPr="0023081F">
        <w:t xml:space="preserve"> solution made from a standard compound</w:t>
      </w:r>
    </w:p>
    <w:p w14:paraId="7046104A" w14:textId="343E4CF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9E1FD8">
        <w:t>A</w:t>
      </w:r>
      <w:r w:rsidRPr="0023081F">
        <w:t xml:space="preserve"> solution of an unknown substance</w:t>
      </w:r>
    </w:p>
    <w:p w14:paraId="4AEBDFE4" w14:textId="551B20EE" w:rsidR="00E85756" w:rsidRPr="0023081F" w:rsidRDefault="00E85756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="009E1FD8">
        <w:tab/>
        <w:t>A</w:t>
      </w:r>
      <w:r w:rsidRPr="0023081F">
        <w:t xml:space="preserve"> solution whose concentration is accurately known</w:t>
      </w:r>
    </w:p>
    <w:p w14:paraId="66679101" w14:textId="5F58CD92" w:rsidR="002E3181" w:rsidRPr="0023081F" w:rsidRDefault="002E3181" w:rsidP="009E1FD8">
      <w:pPr>
        <w:pStyle w:val="i-numberedlist1"/>
      </w:pPr>
      <w:r w:rsidRPr="009E1FD8">
        <w:rPr>
          <w:rStyle w:val="i-listnumber"/>
        </w:rPr>
        <w:t>4</w:t>
      </w:r>
      <w:r w:rsidRPr="0023081F">
        <w:tab/>
      </w:r>
      <w:r w:rsidR="00205AC8" w:rsidRPr="0023081F">
        <w:t>A primary standard is</w:t>
      </w:r>
      <w:r w:rsidR="009D7DA0">
        <w:t>:</w:t>
      </w:r>
    </w:p>
    <w:p w14:paraId="2E32C0AF" w14:textId="35C0034A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9D7DA0">
        <w:t>a</w:t>
      </w:r>
      <w:r w:rsidR="00205AC8" w:rsidRPr="0023081F">
        <w:t xml:space="preserve"> solution whose concentration is accurately known</w:t>
      </w:r>
      <w:r w:rsidR="009D7DA0">
        <w:t>.</w:t>
      </w:r>
    </w:p>
    <w:p w14:paraId="6C16D3EF" w14:textId="451BE398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9D7DA0">
        <w:t>a</w:t>
      </w:r>
      <w:r w:rsidR="00205AC8" w:rsidRPr="0023081F">
        <w:t xml:space="preserve"> solid suitable for making a standard solution</w:t>
      </w:r>
      <w:r w:rsidR="009D7DA0">
        <w:t>.</w:t>
      </w:r>
    </w:p>
    <w:p w14:paraId="42CD7A46" w14:textId="79D56CED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9D7DA0">
        <w:t>a</w:t>
      </w:r>
      <w:r w:rsidR="00205AC8" w:rsidRPr="0023081F">
        <w:t xml:space="preserve"> compound with a large molecular mass</w:t>
      </w:r>
      <w:r w:rsidR="009D7DA0">
        <w:t>.</w:t>
      </w:r>
    </w:p>
    <w:p w14:paraId="5FD8B269" w14:textId="7A25B82B" w:rsidR="002E3181" w:rsidRPr="0023081F" w:rsidRDefault="002E3181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Pr="0023081F">
        <w:tab/>
      </w:r>
      <w:r w:rsidR="009D7DA0">
        <w:t>a</w:t>
      </w:r>
      <w:r w:rsidR="009E1FD8">
        <w:t xml:space="preserve"> simple substance</w:t>
      </w:r>
      <w:r w:rsidR="009D7DA0">
        <w:t>.</w:t>
      </w:r>
    </w:p>
    <w:p w14:paraId="17413DF7" w14:textId="639CF9E4" w:rsidR="002E3181" w:rsidRPr="0023081F" w:rsidRDefault="002E3181" w:rsidP="00A61F1A">
      <w:pPr>
        <w:pStyle w:val="i-numberedlist1"/>
      </w:pPr>
      <w:r w:rsidRPr="00A61F1A">
        <w:rPr>
          <w:rStyle w:val="i-listnumber"/>
        </w:rPr>
        <w:t>5</w:t>
      </w:r>
      <w:r w:rsidRPr="0023081F">
        <w:tab/>
      </w:r>
      <w:r w:rsidR="00205AC8" w:rsidRPr="0023081F">
        <w:t>An indicator</w:t>
      </w:r>
      <w:r w:rsidR="00A61F1A">
        <w:t>:</w:t>
      </w:r>
    </w:p>
    <w:p w14:paraId="3CF2DBB6" w14:textId="0A01001A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A</w:t>
      </w:r>
      <w:r w:rsidRPr="0023081F">
        <w:tab/>
      </w:r>
      <w:r w:rsidR="00205AC8" w:rsidRPr="0023081F">
        <w:t>determines an equivalence point</w:t>
      </w:r>
      <w:r w:rsidR="009D7DA0">
        <w:t>.</w:t>
      </w:r>
    </w:p>
    <w:p w14:paraId="4BE3AAAF" w14:textId="52EA9BEA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B</w:t>
      </w:r>
      <w:r w:rsidRPr="0023081F">
        <w:tab/>
      </w:r>
      <w:r w:rsidR="00205AC8" w:rsidRPr="0023081F">
        <w:t xml:space="preserve">approximates an </w:t>
      </w:r>
      <w:r w:rsidR="009D7DA0">
        <w:t>endpoint.</w:t>
      </w:r>
    </w:p>
    <w:p w14:paraId="7817E60B" w14:textId="0C054ABB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C</w:t>
      </w:r>
      <w:r w:rsidRPr="0023081F">
        <w:tab/>
      </w:r>
      <w:r w:rsidR="00205AC8" w:rsidRPr="0023081F">
        <w:t xml:space="preserve">changes colour at the </w:t>
      </w:r>
      <w:r w:rsidR="009D7DA0">
        <w:t>endpoint.</w:t>
      </w:r>
    </w:p>
    <w:p w14:paraId="47E13878" w14:textId="182B9DB6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D</w:t>
      </w:r>
      <w:r w:rsidRPr="0023081F">
        <w:tab/>
      </w:r>
      <w:r w:rsidR="00205AC8" w:rsidRPr="0023081F">
        <w:t>changes colour at various pH values</w:t>
      </w:r>
      <w:r w:rsidR="00A61F1A">
        <w:t>.</w:t>
      </w:r>
    </w:p>
    <w:p w14:paraId="264032D4" w14:textId="56036459" w:rsidR="002E3181" w:rsidRPr="0023081F" w:rsidRDefault="002E3181" w:rsidP="00A61F1A">
      <w:pPr>
        <w:pStyle w:val="i-numberedlist1"/>
      </w:pPr>
      <w:r w:rsidRPr="005216C0">
        <w:rPr>
          <w:rStyle w:val="i-listnumber"/>
        </w:rPr>
        <w:t>6</w:t>
      </w:r>
      <w:r w:rsidRPr="0023081F">
        <w:tab/>
      </w:r>
      <w:r w:rsidR="00FE0129" w:rsidRPr="0023081F">
        <w:t>W</w:t>
      </w:r>
      <w:r w:rsidR="007271FF" w:rsidRPr="0023081F">
        <w:t>hich of the following is not a unit of concentration?</w:t>
      </w:r>
    </w:p>
    <w:p w14:paraId="07EAC3B0" w14:textId="31A02482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mol</w:t>
      </w:r>
      <w:r w:rsidR="00BC685F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461F427" w14:textId="4F0A4ADD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23081F">
        <w:t>g</w:t>
      </w:r>
      <w:r w:rsidR="00BC685F">
        <w:t> </w:t>
      </w:r>
      <w:r w:rsidR="007271FF" w:rsidRPr="0023081F">
        <w:t>mol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4CE0655E" w14:textId="2F05245D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>g</w:t>
      </w:r>
      <w:r w:rsidR="00BC685F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79DA1E3" w14:textId="18A75D6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23081F">
        <w:t>ppm</w:t>
      </w:r>
    </w:p>
    <w:p w14:paraId="55585A07" w14:textId="05FD3537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lastRenderedPageBreak/>
        <w:t>7</w:t>
      </w:r>
      <w:r w:rsidRPr="0023081F">
        <w:tab/>
      </w:r>
      <w:r w:rsidR="00FE0129" w:rsidRPr="0023081F">
        <w:t>W</w:t>
      </w:r>
      <w:r w:rsidR="007271FF" w:rsidRPr="0023081F">
        <w:t>hen titrating</w:t>
      </w:r>
      <w:r w:rsidR="005216C0">
        <w:t>:</w:t>
      </w:r>
    </w:p>
    <w:p w14:paraId="3982B335" w14:textId="123A896D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rinse all glassware with distilled water</w:t>
      </w:r>
      <w:r w:rsidR="009D7DA0">
        <w:t>.</w:t>
      </w:r>
    </w:p>
    <w:p w14:paraId="6621CAF9" w14:textId="6AB6DB55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23081F">
        <w:t>rinse only the burette with distilled water</w:t>
      </w:r>
      <w:r w:rsidR="009D7DA0">
        <w:t>.</w:t>
      </w:r>
    </w:p>
    <w:p w14:paraId="3974A0AD" w14:textId="040949B0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 xml:space="preserve">rinse </w:t>
      </w:r>
      <w:r w:rsidR="005216C0">
        <w:t>the</w:t>
      </w:r>
      <w:r w:rsidR="007271FF" w:rsidRPr="0023081F">
        <w:t xml:space="preserve"> pipette and titre flasks with distilled water</w:t>
      </w:r>
      <w:r w:rsidR="009D7DA0">
        <w:t>.</w:t>
      </w:r>
    </w:p>
    <w:p w14:paraId="4A44EE1B" w14:textId="25E19C43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23081F">
        <w:t>rinse the pipette with solution being used in it</w:t>
      </w:r>
      <w:r w:rsidR="005216C0">
        <w:t>.</w:t>
      </w:r>
    </w:p>
    <w:p w14:paraId="516F52CE" w14:textId="710EAFC6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t>8</w:t>
      </w:r>
      <w:r w:rsidRPr="0023081F">
        <w:tab/>
      </w:r>
      <w:r w:rsidR="00EC4837" w:rsidRPr="0023081F">
        <w:t xml:space="preserve">What </w:t>
      </w:r>
      <w:r w:rsidR="002007B2" w:rsidRPr="0023081F">
        <w:t>volume</w:t>
      </w:r>
      <w:r w:rsidR="00A323D5" w:rsidRPr="0023081F">
        <w:t xml:space="preserve"> should be used in calculations from these results</w:t>
      </w:r>
      <w:r w:rsidR="00D92EE0">
        <w:t>?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23081F" w:rsidRPr="0023081F" w14:paraId="5C004B20" w14:textId="77777777" w:rsidTr="00C224CE">
        <w:tc>
          <w:tcPr>
            <w:tcW w:w="2235" w:type="dxa"/>
          </w:tcPr>
          <w:p w14:paraId="62787637" w14:textId="708421DE" w:rsidR="0012530F" w:rsidRPr="0023081F" w:rsidRDefault="0012530F" w:rsidP="00A76C4A">
            <w:pPr>
              <w:pStyle w:val="i-tablecolumnheadalignedleft"/>
            </w:pPr>
            <w:r w:rsidRPr="0023081F">
              <w:t>Initial reading (mL)</w:t>
            </w:r>
          </w:p>
        </w:tc>
        <w:tc>
          <w:tcPr>
            <w:tcW w:w="1462" w:type="dxa"/>
            <w:vAlign w:val="center"/>
          </w:tcPr>
          <w:p w14:paraId="425C0C60" w14:textId="228FA903" w:rsidR="0012530F" w:rsidRPr="0023081F" w:rsidRDefault="00C224CE" w:rsidP="005216C0">
            <w:pPr>
              <w:pStyle w:val="i-tabletextalignedright"/>
            </w:pPr>
            <w:r w:rsidRPr="0023081F">
              <w:t>0.45</w:t>
            </w:r>
          </w:p>
        </w:tc>
        <w:tc>
          <w:tcPr>
            <w:tcW w:w="1462" w:type="dxa"/>
            <w:vAlign w:val="center"/>
          </w:tcPr>
          <w:p w14:paraId="60538408" w14:textId="66395C8A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3" w:type="dxa"/>
            <w:vAlign w:val="center"/>
          </w:tcPr>
          <w:p w14:paraId="7EFD19D8" w14:textId="39FF6F0A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2" w:type="dxa"/>
            <w:vAlign w:val="center"/>
          </w:tcPr>
          <w:p w14:paraId="4ED565BC" w14:textId="3F49427A" w:rsidR="0012530F" w:rsidRPr="0023081F" w:rsidRDefault="00C224CE" w:rsidP="005216C0">
            <w:pPr>
              <w:pStyle w:val="i-tabletextalignedright"/>
            </w:pPr>
            <w:r w:rsidRPr="0023081F">
              <w:t>1.40</w:t>
            </w:r>
          </w:p>
        </w:tc>
      </w:tr>
      <w:tr w:rsidR="0023081F" w:rsidRPr="0023081F" w14:paraId="7C60953B" w14:textId="77777777" w:rsidTr="00C224CE">
        <w:tc>
          <w:tcPr>
            <w:tcW w:w="2235" w:type="dxa"/>
          </w:tcPr>
          <w:p w14:paraId="124F0224" w14:textId="18143E42" w:rsidR="0012530F" w:rsidRPr="0023081F" w:rsidRDefault="0012530F" w:rsidP="00A76C4A">
            <w:pPr>
              <w:pStyle w:val="i-tablecolumnheadalignedleft"/>
            </w:pPr>
            <w:r w:rsidRPr="0023081F">
              <w:t>Final reading (mL)</w:t>
            </w:r>
          </w:p>
        </w:tc>
        <w:tc>
          <w:tcPr>
            <w:tcW w:w="1462" w:type="dxa"/>
            <w:vAlign w:val="center"/>
          </w:tcPr>
          <w:p w14:paraId="7C11C7B0" w14:textId="04CFDF35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2" w:type="dxa"/>
            <w:vAlign w:val="center"/>
          </w:tcPr>
          <w:p w14:paraId="51269602" w14:textId="58967462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3" w:type="dxa"/>
            <w:vAlign w:val="center"/>
          </w:tcPr>
          <w:p w14:paraId="5055BA4B" w14:textId="1424320B" w:rsidR="0012530F" w:rsidRPr="0023081F" w:rsidRDefault="00C224CE" w:rsidP="005216C0">
            <w:pPr>
              <w:pStyle w:val="i-tabletextalignedright"/>
            </w:pPr>
            <w:r w:rsidRPr="0023081F">
              <w:t>46.75</w:t>
            </w:r>
          </w:p>
        </w:tc>
        <w:tc>
          <w:tcPr>
            <w:tcW w:w="1462" w:type="dxa"/>
            <w:vAlign w:val="center"/>
          </w:tcPr>
          <w:p w14:paraId="03D8BAD9" w14:textId="426BE244" w:rsidR="0012530F" w:rsidRPr="0023081F" w:rsidRDefault="00C224CE" w:rsidP="005216C0">
            <w:pPr>
              <w:pStyle w:val="i-tabletextalignedright"/>
            </w:pPr>
            <w:r w:rsidRPr="0023081F">
              <w:t>16.80</w:t>
            </w:r>
          </w:p>
        </w:tc>
      </w:tr>
    </w:tbl>
    <w:p w14:paraId="36C8903D" w14:textId="1B3126A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C224CE" w:rsidRPr="0023081F">
        <w:t>15.43</w:t>
      </w:r>
    </w:p>
    <w:p w14:paraId="4752411D" w14:textId="47A55752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C224CE" w:rsidRPr="0023081F">
        <w:t>15.38</w:t>
      </w:r>
    </w:p>
    <w:p w14:paraId="3998BDEB" w14:textId="2D13BF87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C224CE" w:rsidRPr="0023081F">
        <w:t>15.40</w:t>
      </w:r>
    </w:p>
    <w:p w14:paraId="33BAA5AE" w14:textId="6B4FCF91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C224CE" w:rsidRPr="0023081F">
        <w:t>15.39</w:t>
      </w:r>
    </w:p>
    <w:p w14:paraId="1A72DEBA" w14:textId="2D173AE0" w:rsidR="002E3181" w:rsidRPr="0023081F" w:rsidRDefault="002E3181" w:rsidP="005216C0">
      <w:pPr>
        <w:pStyle w:val="i-numberedlist1"/>
      </w:pPr>
      <w:r w:rsidRPr="00F82526">
        <w:rPr>
          <w:rStyle w:val="i-listnumber"/>
        </w:rPr>
        <w:t>9</w:t>
      </w:r>
      <w:r w:rsidRPr="0023081F">
        <w:tab/>
      </w:r>
      <w:r w:rsidR="00FB3369" w:rsidRPr="0023081F">
        <w:t>Acid</w:t>
      </w:r>
      <w:r w:rsidR="009D7DA0">
        <w:t>–b</w:t>
      </w:r>
      <w:r w:rsidR="00FB3369" w:rsidRPr="0023081F">
        <w:t xml:space="preserve">ase titrations are </w:t>
      </w:r>
      <w:r w:rsidR="00D75A48" w:rsidRPr="0023081F">
        <w:t>always</w:t>
      </w:r>
      <w:r w:rsidR="00FB3369" w:rsidRPr="0023081F">
        <w:t xml:space="preserve"> used for determining concentrations with</w:t>
      </w:r>
      <w:r w:rsidR="005216C0">
        <w:t>:</w:t>
      </w:r>
    </w:p>
    <w:p w14:paraId="43D7493B" w14:textId="5A8FD2E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FB3369" w:rsidRPr="0023081F">
        <w:t>strong acids/strong bases and weak acid/weak base solutions</w:t>
      </w:r>
      <w:r w:rsidR="009D7DA0">
        <w:t>.</w:t>
      </w:r>
    </w:p>
    <w:p w14:paraId="35213719" w14:textId="5A9ADD54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FB3369" w:rsidRPr="0023081F">
        <w:t>strong acid/weak base and weak acid/strong base solutions</w:t>
      </w:r>
      <w:r w:rsidR="009D7DA0">
        <w:t>.</w:t>
      </w:r>
    </w:p>
    <w:p w14:paraId="564B8BAE" w14:textId="0229D19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FB3369" w:rsidRPr="0023081F">
        <w:t>strong acids/weak base solutions only</w:t>
      </w:r>
      <w:r w:rsidR="009D7DA0">
        <w:t>.</w:t>
      </w:r>
    </w:p>
    <w:p w14:paraId="2B3A64A2" w14:textId="4768E2DE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FB3369" w:rsidRPr="0023081F">
        <w:t>strong acid/strong base solutions only</w:t>
      </w:r>
      <w:r w:rsidR="005216C0">
        <w:t>.</w:t>
      </w:r>
    </w:p>
    <w:p w14:paraId="7A336D32" w14:textId="3033C829" w:rsidR="002E3181" w:rsidRPr="0023081F" w:rsidRDefault="002E3181" w:rsidP="00F82526">
      <w:pPr>
        <w:pStyle w:val="i-numberedlist1"/>
      </w:pPr>
      <w:r w:rsidRPr="00F82526">
        <w:rPr>
          <w:rStyle w:val="i-listnumber"/>
        </w:rPr>
        <w:t>10</w:t>
      </w:r>
      <w:r w:rsidRPr="0023081F">
        <w:tab/>
      </w:r>
      <w:r w:rsidR="00FE0129" w:rsidRPr="0023081F">
        <w:t>E</w:t>
      </w:r>
      <w:r w:rsidR="00D76B20" w:rsidRPr="0023081F">
        <w:t>quivalence</w:t>
      </w:r>
      <w:r w:rsidR="00D75A48" w:rsidRPr="0023081F">
        <w:t xml:space="preserve"> point and endpoint</w:t>
      </w:r>
      <w:r w:rsidR="00F82526">
        <w:t>:</w:t>
      </w:r>
    </w:p>
    <w:p w14:paraId="36EF7BEE" w14:textId="469E7F5D" w:rsidR="002E3181" w:rsidRPr="0023081F" w:rsidRDefault="0023081F" w:rsidP="00F82526">
      <w:pPr>
        <w:pStyle w:val="i-numberedlist2"/>
      </w:pPr>
      <w:r w:rsidRPr="00F82526">
        <w:rPr>
          <w:rStyle w:val="i-listnumber"/>
        </w:rPr>
        <w:t>A</w:t>
      </w:r>
      <w:r w:rsidR="002E3181" w:rsidRPr="0023081F">
        <w:tab/>
      </w:r>
      <w:r w:rsidR="00D75A48" w:rsidRPr="0023081F">
        <w:t xml:space="preserve">are </w:t>
      </w:r>
      <w:r w:rsidR="00D76B20" w:rsidRPr="0023081F">
        <w:t>determined by stoichiometry and indicators respectively</w:t>
      </w:r>
      <w:r w:rsidR="009D7DA0">
        <w:t>.</w:t>
      </w:r>
    </w:p>
    <w:p w14:paraId="42A6B3B6" w14:textId="4988F0BF" w:rsidR="0023081F" w:rsidRPr="0023081F" w:rsidRDefault="0023081F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  <w:t>are the same thing</w:t>
      </w:r>
      <w:r w:rsidR="009D7DA0">
        <w:t>.</w:t>
      </w:r>
    </w:p>
    <w:p w14:paraId="1C723686" w14:textId="2588A0B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D76B20" w:rsidRPr="0023081F">
        <w:t>change depending on indicator used</w:t>
      </w:r>
      <w:r w:rsidR="009D7DA0">
        <w:t>.</w:t>
      </w:r>
    </w:p>
    <w:p w14:paraId="64A27D15" w14:textId="716B8FC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D76B20" w:rsidRPr="0023081F">
        <w:t>are never the same</w:t>
      </w:r>
      <w:r w:rsidR="00F82526">
        <w:t>.</w:t>
      </w:r>
    </w:p>
    <w:p w14:paraId="48A576A1" w14:textId="6732248A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11</w:t>
      </w:r>
      <w:r w:rsidR="002E3181" w:rsidRPr="0023081F">
        <w:tab/>
      </w:r>
      <w:r w:rsidR="008D17AD" w:rsidRPr="0023081F">
        <w:t>A good primary standard</w:t>
      </w:r>
      <w:r>
        <w:t>:</w:t>
      </w:r>
    </w:p>
    <w:p w14:paraId="0EC4DCD4" w14:textId="1463FF66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8D17AD" w:rsidRPr="0023081F">
        <w:t>must be a solution</w:t>
      </w:r>
      <w:r w:rsidR="009D7DA0">
        <w:t>.</w:t>
      </w:r>
    </w:p>
    <w:p w14:paraId="3158586E" w14:textId="5B499929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8D17AD" w:rsidRPr="0023081F">
        <w:t>must have a low molecular mass</w:t>
      </w:r>
      <w:r w:rsidR="009D7DA0">
        <w:t>.</w:t>
      </w:r>
    </w:p>
    <w:p w14:paraId="25453C45" w14:textId="798B2D2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347A47">
        <w:t>must be</w:t>
      </w:r>
      <w:r w:rsidR="008D17AD" w:rsidRPr="0023081F">
        <w:t xml:space="preserve"> </w:t>
      </w:r>
      <w:r w:rsidR="00C340CD" w:rsidRPr="0023081F">
        <w:t xml:space="preserve">obtainable as a </w:t>
      </w:r>
      <w:r w:rsidR="008D17AD" w:rsidRPr="0023081F">
        <w:t>pure solid substance</w:t>
      </w:r>
      <w:r w:rsidR="009D7DA0">
        <w:t>.</w:t>
      </w:r>
    </w:p>
    <w:p w14:paraId="6C25E168" w14:textId="1F915E8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347A47">
        <w:t>must b</w:t>
      </w:r>
      <w:r w:rsidR="008D17AD" w:rsidRPr="0023081F">
        <w:t>e insoluble</w:t>
      </w:r>
      <w:r w:rsidR="00F82526">
        <w:t>.</w:t>
      </w:r>
    </w:p>
    <w:p w14:paraId="0445316B" w14:textId="23AE54F7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12</w:t>
      </w:r>
      <w:r w:rsidR="002E3181" w:rsidRPr="0023081F">
        <w:tab/>
      </w:r>
      <w:r w:rsidR="0070465E" w:rsidRPr="0023081F">
        <w:t>A weak base</w:t>
      </w:r>
      <w:r>
        <w:t>:</w:t>
      </w:r>
    </w:p>
    <w:p w14:paraId="6D85993B" w14:textId="6E810DF2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B74D69" w:rsidRPr="0023081F">
        <w:t>only partially dissociates to release OH</w:t>
      </w:r>
      <w:r w:rsidR="00F82526" w:rsidRPr="00D73E33">
        <w:rPr>
          <w:rStyle w:val="i-listsuperscript"/>
        </w:rPr>
        <w:t>–</w:t>
      </w:r>
      <w:r w:rsidR="00B74D69" w:rsidRPr="0023081F">
        <w:t xml:space="preserve"> ions</w:t>
      </w:r>
      <w:r w:rsidR="009D7DA0">
        <w:t>.</w:t>
      </w:r>
    </w:p>
    <w:p w14:paraId="39545196" w14:textId="6800F805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B74D69" w:rsidRPr="0023081F">
        <w:t>only accepts a few protons</w:t>
      </w:r>
      <w:r w:rsidR="009D7DA0">
        <w:t>.</w:t>
      </w:r>
    </w:p>
    <w:p w14:paraId="72CAC9B8" w14:textId="0837C27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B74D69" w:rsidRPr="0023081F">
        <w:t>only partially dissociates to produce a low percentage of OH</w:t>
      </w:r>
      <w:r w:rsidR="00F82526" w:rsidRPr="00D73E33">
        <w:rPr>
          <w:rStyle w:val="i-listsuperscript"/>
        </w:rPr>
        <w:t>–</w:t>
      </w:r>
      <w:r w:rsidR="00F82526">
        <w:t xml:space="preserve"> ions</w:t>
      </w:r>
      <w:r w:rsidR="009D7DA0">
        <w:t>.</w:t>
      </w:r>
    </w:p>
    <w:p w14:paraId="68A99D10" w14:textId="4E2947FF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B74D69" w:rsidRPr="0023081F">
        <w:t>is not very soluble in water</w:t>
      </w:r>
      <w:r w:rsidR="00B052A6" w:rsidRPr="0023081F">
        <w:t>.</w:t>
      </w:r>
    </w:p>
    <w:p w14:paraId="4DFB6D84" w14:textId="7F8B692C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13</w:t>
      </w:r>
      <w:r w:rsidR="002E3181" w:rsidRPr="0023081F">
        <w:tab/>
      </w:r>
      <w:r w:rsidR="00523D6B" w:rsidRPr="0023081F">
        <w:t>Parallax error</w:t>
      </w:r>
      <w:r>
        <w:t>:</w:t>
      </w:r>
    </w:p>
    <w:p w14:paraId="41A540B6" w14:textId="5E2B2EBC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523D6B" w:rsidRPr="0023081F">
        <w:t>never occurs if reading volume at eye level</w:t>
      </w:r>
      <w:r w:rsidR="009D7DA0">
        <w:t>.</w:t>
      </w:r>
    </w:p>
    <w:p w14:paraId="7BB06533" w14:textId="39ACB94A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523D6B" w:rsidRPr="0023081F">
        <w:t>occurs at all times unless you wear glasses</w:t>
      </w:r>
      <w:r w:rsidR="009D7DA0">
        <w:t>.</w:t>
      </w:r>
    </w:p>
    <w:p w14:paraId="392742A0" w14:textId="324D214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523D6B" w:rsidRPr="0023081F">
        <w:t>occurs when reading volumes at an angle</w:t>
      </w:r>
      <w:r w:rsidR="009D7DA0">
        <w:t>.</w:t>
      </w:r>
    </w:p>
    <w:p w14:paraId="3233B996" w14:textId="41474B7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523D6B" w:rsidRPr="0023081F">
        <w:t>only occurs with solutions that have a meniscus</w:t>
      </w:r>
      <w:r w:rsidR="00B052A6" w:rsidRPr="0023081F">
        <w:t>.</w:t>
      </w:r>
    </w:p>
    <w:p w14:paraId="29E06B5D" w14:textId="77777777" w:rsidR="00985107" w:rsidRDefault="00985107" w:rsidP="00FC6BE7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05637195" w14:textId="1A2C2050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lastRenderedPageBreak/>
        <w:t>14</w:t>
      </w:r>
      <w:r w:rsidRPr="0023081F">
        <w:tab/>
      </w:r>
      <w:r w:rsidR="0023081F" w:rsidRPr="0023081F">
        <w:t>T</w:t>
      </w:r>
      <w:r w:rsidR="002A6C2D" w:rsidRPr="0023081F">
        <w:t>o make up a standard solution</w:t>
      </w:r>
      <w:r w:rsidR="00FC6BE7">
        <w:t>:</w:t>
      </w:r>
    </w:p>
    <w:p w14:paraId="1F990246" w14:textId="54036382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A</w:t>
      </w:r>
      <w:r w:rsidR="002E3181" w:rsidRPr="0023081F">
        <w:tab/>
      </w:r>
      <w:r w:rsidR="002A6C2D" w:rsidRPr="0023081F">
        <w:t>make the solution up to the mark in a measuring cylinder</w:t>
      </w:r>
      <w:r w:rsidR="009D7DA0">
        <w:t>.</w:t>
      </w:r>
    </w:p>
    <w:p w14:paraId="4BF901FC" w14:textId="210D5895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B</w:t>
      </w:r>
      <w:r w:rsidR="002E3181" w:rsidRPr="0023081F">
        <w:tab/>
      </w:r>
      <w:r w:rsidR="002A6C2D" w:rsidRPr="0023081F">
        <w:t>make the solution up to the mark in a burette</w:t>
      </w:r>
      <w:r w:rsidR="009D7DA0">
        <w:t>.</w:t>
      </w:r>
    </w:p>
    <w:p w14:paraId="720695AB" w14:textId="180C0441" w:rsidR="0023081F" w:rsidRPr="0023081F" w:rsidRDefault="0023081F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  <w:t xml:space="preserve">make the solution up to </w:t>
      </w:r>
      <w:r w:rsidR="00FC6BE7">
        <w:t>the mark in a volumetric flask</w:t>
      </w:r>
      <w:r w:rsidR="009D7DA0">
        <w:t>.</w:t>
      </w:r>
    </w:p>
    <w:p w14:paraId="2ACDF01F" w14:textId="728ADB56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2A6C2D" w:rsidRPr="0023081F">
        <w:t>make the solution up to the mark in a beaker</w:t>
      </w:r>
      <w:r w:rsidR="00B052A6" w:rsidRPr="0023081F">
        <w:t>.</w:t>
      </w:r>
    </w:p>
    <w:p w14:paraId="3981AB5B" w14:textId="4D4DC614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t>15</w:t>
      </w:r>
      <w:r w:rsidRPr="0023081F">
        <w:tab/>
      </w:r>
      <w:r w:rsidR="00D85AED" w:rsidRPr="0023081F">
        <w:t>A</w:t>
      </w:r>
      <w:r w:rsidR="00B052A6" w:rsidRPr="0023081F">
        <w:t xml:space="preserve"> </w:t>
      </w:r>
      <w:r w:rsidR="001256B5">
        <w:t>s</w:t>
      </w:r>
      <w:r w:rsidR="00B052A6" w:rsidRPr="0023081F">
        <w:t>uccessful titration will have three concordant results, which means</w:t>
      </w:r>
      <w:r w:rsidR="00FC6BE7">
        <w:t>:</w:t>
      </w:r>
    </w:p>
    <w:p w14:paraId="3E979095" w14:textId="79A229A4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A</w:t>
      </w:r>
      <w:r w:rsidRPr="0023081F">
        <w:tab/>
      </w:r>
      <w:r w:rsidR="00B052A6" w:rsidRPr="0023081F">
        <w:t>the concentration of the solution varies within 0.1</w:t>
      </w:r>
      <w:r w:rsidR="00BC685F">
        <w:t> </w:t>
      </w:r>
      <w:r w:rsidR="00B052A6" w:rsidRPr="0023081F">
        <w:t>mol</w:t>
      </w:r>
      <w:r w:rsidR="00BC685F">
        <w:t> </w:t>
      </w:r>
      <w:r w:rsidR="00B052A6" w:rsidRPr="0023081F">
        <w:t>L</w:t>
      </w:r>
      <w:r w:rsidR="00FC6BE7" w:rsidRPr="00D73E33">
        <w:rPr>
          <w:rStyle w:val="i-listsuperscript"/>
        </w:rPr>
        <w:t>–</w:t>
      </w:r>
      <w:r w:rsidR="00B052A6" w:rsidRPr="00D73E33">
        <w:rPr>
          <w:rStyle w:val="i-listsuperscript"/>
        </w:rPr>
        <w:t>1</w:t>
      </w:r>
      <w:r w:rsidR="009D7DA0" w:rsidRPr="009D7DA0">
        <w:t>.</w:t>
      </w:r>
    </w:p>
    <w:p w14:paraId="57928BC1" w14:textId="58CAB578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B</w:t>
      </w:r>
      <w:r w:rsidRPr="0023081F">
        <w:tab/>
      </w:r>
      <w:r w:rsidR="00B052A6" w:rsidRPr="0023081F">
        <w:t>the volume of the titres agree to 0.1</w:t>
      </w:r>
      <w:r w:rsidR="00BC685F">
        <w:t> </w:t>
      </w:r>
      <w:r w:rsidR="001256B5">
        <w:t>mL of each other</w:t>
      </w:r>
      <w:r w:rsidR="009D7DA0">
        <w:t>.</w:t>
      </w:r>
    </w:p>
    <w:p w14:paraId="2C084CF9" w14:textId="741F41D4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</w:r>
      <w:r w:rsidR="00B052A6" w:rsidRPr="0023081F">
        <w:t>the average of the titres agree within 0.01</w:t>
      </w:r>
      <w:r w:rsidR="00BC685F">
        <w:t> </w:t>
      </w:r>
      <w:r w:rsidR="00B052A6" w:rsidRPr="0023081F">
        <w:t>mL each time i</w:t>
      </w:r>
      <w:r w:rsidR="001256B5">
        <w:t>t is calculated</w:t>
      </w:r>
      <w:r w:rsidR="009D7DA0">
        <w:t>.</w:t>
      </w:r>
    </w:p>
    <w:p w14:paraId="1CBA213E" w14:textId="77777777" w:rsidR="00FC6BE7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B052A6" w:rsidRPr="0023081F">
        <w:t>the indicator changes colour at the same volume each time.</w:t>
      </w:r>
    </w:p>
    <w:p w14:paraId="37424424" w14:textId="77777777" w:rsidR="003978E8" w:rsidRPr="00043BFD" w:rsidRDefault="003978E8" w:rsidP="003978E8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043CDB8B" w14:textId="77777777" w:rsidR="003978E8" w:rsidRDefault="003978E8" w:rsidP="003978E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65185499" w14:textId="2DBF1B65" w:rsidR="002E3181" w:rsidRDefault="002E3181" w:rsidP="003978E8">
      <w:pPr>
        <w:pStyle w:val="i-numberedlist1a"/>
      </w:pPr>
      <w:r w:rsidRPr="003978E8">
        <w:rPr>
          <w:rStyle w:val="i-listnumber"/>
        </w:rPr>
        <w:t>1</w:t>
      </w:r>
      <w:r w:rsidRPr="00A51501">
        <w:tab/>
      </w:r>
      <w:r w:rsidR="00FC6BE7" w:rsidRPr="003978E8">
        <w:rPr>
          <w:rStyle w:val="i-listnumber"/>
        </w:rPr>
        <w:t>a</w:t>
      </w:r>
      <w:r w:rsidR="00FC6BE7">
        <w:tab/>
      </w:r>
      <w:r w:rsidR="000D2673">
        <w:t>Explain the difference between endpoint and equivalence point in titrations</w:t>
      </w:r>
      <w:r w:rsidR="003978E8">
        <w:t>.</w:t>
      </w:r>
    </w:p>
    <w:p w14:paraId="6D4F1047" w14:textId="3DB9142F" w:rsidR="000D2673" w:rsidRDefault="000D2673" w:rsidP="00BC685F">
      <w:pPr>
        <w:pStyle w:val="i-numberedlist2indentfo"/>
      </w:pPr>
    </w:p>
    <w:p w14:paraId="0048173C" w14:textId="77777777" w:rsidR="00BC685F" w:rsidRDefault="00BC685F" w:rsidP="00BC685F">
      <w:pPr>
        <w:pStyle w:val="i-numberedlist2indentfo"/>
      </w:pPr>
    </w:p>
    <w:p w14:paraId="15B3DCD6" w14:textId="2D7F66B5" w:rsidR="000D2673" w:rsidRPr="00A51501" w:rsidRDefault="00FC6BE7" w:rsidP="003978E8">
      <w:pPr>
        <w:pStyle w:val="i-numberedlist2"/>
      </w:pPr>
      <w:r w:rsidRPr="003978E8">
        <w:rPr>
          <w:rStyle w:val="i-listnumber"/>
        </w:rPr>
        <w:t>b</w:t>
      </w:r>
      <w:r>
        <w:tab/>
      </w:r>
      <w:r w:rsidR="000D2673">
        <w:t>Name a suitable indicator for a strong acid strong base titration.</w:t>
      </w:r>
    </w:p>
    <w:p w14:paraId="2CED348B" w14:textId="0FCA2994" w:rsidR="000D2673" w:rsidRDefault="000D2673" w:rsidP="00BC685F">
      <w:pPr>
        <w:pStyle w:val="i-numberedlist2indentfo"/>
      </w:pPr>
    </w:p>
    <w:p w14:paraId="59A9DB98" w14:textId="77777777" w:rsidR="00BC685F" w:rsidRDefault="00BC685F" w:rsidP="00BC685F">
      <w:pPr>
        <w:pStyle w:val="i-numberedlist2indentfo"/>
      </w:pPr>
    </w:p>
    <w:p w14:paraId="71726831" w14:textId="11F28102" w:rsidR="002E3181" w:rsidRPr="00A51501" w:rsidRDefault="002E3181" w:rsidP="003978E8">
      <w:pPr>
        <w:pStyle w:val="i-bodytextright"/>
      </w:pPr>
      <w:r w:rsidRPr="00A51501">
        <w:t>(</w:t>
      </w:r>
      <w:r w:rsidR="003978E8">
        <w:t xml:space="preserve">2 + 1 = </w:t>
      </w:r>
      <w:r w:rsidR="000D2673">
        <w:t>3</w:t>
      </w:r>
      <w:r w:rsidRPr="00A51501">
        <w:t xml:space="preserve"> marks)</w:t>
      </w:r>
    </w:p>
    <w:p w14:paraId="5A017241" w14:textId="1645E1C2" w:rsidR="00AE12A0" w:rsidRDefault="002E3181" w:rsidP="003978E8">
      <w:pPr>
        <w:pStyle w:val="i-numberedlist1"/>
      </w:pPr>
      <w:r w:rsidRPr="003978E8">
        <w:rPr>
          <w:rStyle w:val="i-listnumber"/>
        </w:rPr>
        <w:t>2</w:t>
      </w:r>
      <w:r w:rsidRPr="00A51501">
        <w:tab/>
      </w:r>
      <w:r w:rsidR="00B40BF9">
        <w:t xml:space="preserve">Name </w:t>
      </w:r>
      <w:r w:rsidR="00AE12A0">
        <w:t>three requirements for a primary standard</w:t>
      </w:r>
      <w:r w:rsidR="003978E8">
        <w:t>.</w:t>
      </w:r>
    </w:p>
    <w:p w14:paraId="7ADECB9C" w14:textId="78FBD758" w:rsidR="00B40BF9" w:rsidRDefault="00B40BF9" w:rsidP="00BC685F">
      <w:pPr>
        <w:pStyle w:val="i-numberedlist1indentfo"/>
      </w:pPr>
    </w:p>
    <w:p w14:paraId="70814B2B" w14:textId="77777777" w:rsidR="00BC685F" w:rsidRDefault="00BC685F" w:rsidP="00BC685F">
      <w:pPr>
        <w:pStyle w:val="i-numberedlist1indentfo"/>
      </w:pPr>
    </w:p>
    <w:p w14:paraId="4D140E3F" w14:textId="65A74C5B" w:rsidR="002E3181" w:rsidRPr="007E7593" w:rsidRDefault="00FC6BE7" w:rsidP="003978E8">
      <w:pPr>
        <w:pStyle w:val="i-bodytextright"/>
      </w:pPr>
      <w:r w:rsidRPr="007E7593">
        <w:t xml:space="preserve"> </w:t>
      </w:r>
      <w:r w:rsidR="002E3181" w:rsidRPr="007E7593">
        <w:t>(</w:t>
      </w:r>
      <w:r w:rsidR="00AE12A0">
        <w:t>3</w:t>
      </w:r>
      <w:r w:rsidR="002E3181" w:rsidRPr="007E7593">
        <w:t xml:space="preserve"> marks)</w:t>
      </w:r>
    </w:p>
    <w:p w14:paraId="36F3814A" w14:textId="0EBC384A" w:rsidR="00AD7BE7" w:rsidRDefault="002E3181" w:rsidP="003978E8">
      <w:pPr>
        <w:pStyle w:val="i-numberedlist1a"/>
      </w:pPr>
      <w:r w:rsidRPr="003978E8">
        <w:rPr>
          <w:rStyle w:val="i-listnumber"/>
        </w:rPr>
        <w:t>3</w:t>
      </w:r>
      <w:r w:rsidRPr="007E7593">
        <w:tab/>
      </w:r>
      <w:r w:rsidR="00FC6BE7" w:rsidRPr="003978E8">
        <w:rPr>
          <w:rStyle w:val="i-listnumber"/>
        </w:rPr>
        <w:t>a</w:t>
      </w:r>
      <w:r w:rsidR="00FC6BE7">
        <w:tab/>
      </w:r>
      <w:r w:rsidR="00AD7BE7">
        <w:t xml:space="preserve">You </w:t>
      </w:r>
      <w:r w:rsidR="00B40BF9">
        <w:t>need 64</w:t>
      </w:r>
      <w:r w:rsidR="00BC685F">
        <w:t> </w:t>
      </w:r>
      <w:r w:rsidR="00B40BF9">
        <w:t>mL of 0.5</w:t>
      </w:r>
      <w:r w:rsidR="00BC685F">
        <w:t> </w:t>
      </w:r>
      <w:r w:rsidR="00B40BF9">
        <w:t>mol</w:t>
      </w:r>
      <w:r w:rsidR="00BC685F">
        <w:t> </w:t>
      </w:r>
      <w:r w:rsidR="00B40BF9">
        <w:t>L</w:t>
      </w:r>
      <w:r w:rsidR="003978E8" w:rsidRPr="00D73E33">
        <w:rPr>
          <w:rStyle w:val="i-listsuperscript"/>
        </w:rPr>
        <w:t>–</w:t>
      </w:r>
      <w:r w:rsidR="00AD7BE7" w:rsidRPr="00D73E33">
        <w:rPr>
          <w:rStyle w:val="i-listsuperscript"/>
        </w:rPr>
        <w:t>1</w:t>
      </w:r>
      <w:r w:rsidR="00AD7BE7">
        <w:t xml:space="preserve"> </w:t>
      </w:r>
      <w:r w:rsidR="00B40BF9">
        <w:t>NaOH to neutralise 123</w:t>
      </w:r>
      <w:r w:rsidR="00BC685F">
        <w:t> </w:t>
      </w:r>
      <w:r w:rsidR="00B40BF9">
        <w:t>mL of an HCl solution. Calculate the concentration of the acid</w:t>
      </w:r>
      <w:r w:rsidR="00AD7BE7">
        <w:t>.</w:t>
      </w:r>
    </w:p>
    <w:p w14:paraId="28756013" w14:textId="4E7F58F7" w:rsidR="00AD7BE7" w:rsidRDefault="00AD7BE7" w:rsidP="00BC685F">
      <w:pPr>
        <w:pStyle w:val="i-numberedlist2indentfo"/>
      </w:pPr>
    </w:p>
    <w:p w14:paraId="0684E861" w14:textId="77777777" w:rsidR="00BC685F" w:rsidRDefault="00BC685F" w:rsidP="00BC685F">
      <w:pPr>
        <w:pStyle w:val="i-numberedlist2indentfo"/>
      </w:pPr>
    </w:p>
    <w:p w14:paraId="5ABE0807" w14:textId="534E3F43" w:rsidR="00AD7BE7" w:rsidRDefault="00AD7BE7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It takes 55</w:t>
      </w:r>
      <w:r w:rsidR="00BC685F">
        <w:t> </w:t>
      </w:r>
      <w:r>
        <w:t>mL of 0.1</w:t>
      </w:r>
      <w:r w:rsidR="00BC685F">
        <w:t> </w:t>
      </w:r>
      <w:r>
        <w:rPr>
          <w:bCs/>
        </w:rPr>
        <w:t>mol</w:t>
      </w:r>
      <w:r w:rsidR="00BC685F">
        <w:rPr>
          <w:bCs/>
        </w:rPr>
        <w:t> </w:t>
      </w:r>
      <w:r>
        <w:rPr>
          <w:bCs/>
        </w:rP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 xml:space="preserve">1 </w:t>
      </w:r>
      <w:r>
        <w:rPr>
          <w:bCs/>
        </w:rPr>
        <w:t>KOH to neutralise 245</w:t>
      </w:r>
      <w:r w:rsidR="00BC685F">
        <w:rPr>
          <w:bCs/>
        </w:rPr>
        <w:t> </w:t>
      </w:r>
      <w:r>
        <w:rPr>
          <w:bCs/>
        </w:rPr>
        <w:t>mL HNO</w:t>
      </w:r>
      <w:r w:rsidRPr="00D73E33">
        <w:rPr>
          <w:rStyle w:val="i-listsubscript"/>
        </w:rPr>
        <w:t>3</w:t>
      </w:r>
      <w:r w:rsidR="009D7DA0">
        <w:t>.</w:t>
      </w:r>
      <w:r>
        <w:t xml:space="preserve"> </w:t>
      </w:r>
      <w:r w:rsidR="009D7DA0">
        <w:t>D</w:t>
      </w:r>
      <w:r>
        <w:t>etermine the nitric acid concentration.</w:t>
      </w:r>
    </w:p>
    <w:p w14:paraId="04C9BBDC" w14:textId="3BE0BE56" w:rsidR="00AD7BE7" w:rsidRDefault="00AD7BE7" w:rsidP="00BC685F">
      <w:pPr>
        <w:pStyle w:val="i-numberedlist2indentfo"/>
      </w:pPr>
    </w:p>
    <w:p w14:paraId="37F2C1F5" w14:textId="77777777" w:rsidR="00BC685F" w:rsidRDefault="00BC685F" w:rsidP="00BC685F">
      <w:pPr>
        <w:pStyle w:val="i-numberedlist2indentfo"/>
      </w:pPr>
    </w:p>
    <w:p w14:paraId="3E068B86" w14:textId="785A34F3" w:rsidR="00AD7BE7" w:rsidRDefault="00AD7BE7" w:rsidP="003978E8">
      <w:pPr>
        <w:pStyle w:val="i-numberedlist2"/>
      </w:pPr>
      <w:r w:rsidRPr="003978E8">
        <w:rPr>
          <w:rStyle w:val="i-listnumber"/>
        </w:rPr>
        <w:t>c</w:t>
      </w:r>
      <w:r w:rsidR="00FC6BE7">
        <w:tab/>
      </w:r>
      <w:r>
        <w:t>A 222</w:t>
      </w:r>
      <w:r w:rsidR="00BC685F">
        <w:t> </w:t>
      </w:r>
      <w:r>
        <w:t>mL solution of H</w:t>
      </w:r>
      <w:r w:rsidRPr="00D73E33">
        <w:rPr>
          <w:rStyle w:val="i-listsubscript"/>
        </w:rPr>
        <w:t>2</w:t>
      </w:r>
      <w:r>
        <w:t>SO</w:t>
      </w:r>
      <w:r w:rsidRPr="00D73E33">
        <w:rPr>
          <w:rStyle w:val="i-listsubscript"/>
        </w:rPr>
        <w:t>4</w:t>
      </w:r>
      <w:r w:rsidR="007E7593" w:rsidRPr="007E7593">
        <w:t xml:space="preserve"> </w:t>
      </w:r>
      <w:r>
        <w:t>is neutralised by77</w:t>
      </w:r>
      <w:r w:rsidR="00BC685F">
        <w:t> </w:t>
      </w:r>
      <w:r>
        <w:t>mL of 0.2</w:t>
      </w:r>
      <w:r w:rsidR="00BC685F">
        <w:t> </w:t>
      </w:r>
      <w:r>
        <w:t>mol</w:t>
      </w:r>
      <w:r w:rsidR="00BC685F">
        <w:t> </w:t>
      </w:r>
      <w: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  <w:r>
        <w:t xml:space="preserve"> of NaOH</w:t>
      </w:r>
      <w:r w:rsidR="009D7DA0">
        <w:t>. W</w:t>
      </w:r>
      <w:r>
        <w:t>hat is the concentration of the sul</w:t>
      </w:r>
      <w:r w:rsidR="009D7DA0">
        <w:t>f</w:t>
      </w:r>
      <w:r>
        <w:t>uric acid?</w:t>
      </w:r>
    </w:p>
    <w:p w14:paraId="15DCDC9D" w14:textId="7DD7A4EC" w:rsidR="00AD7BE7" w:rsidRDefault="00AD7BE7" w:rsidP="00BC685F">
      <w:pPr>
        <w:pStyle w:val="i-numberedlist2indentfo"/>
      </w:pPr>
    </w:p>
    <w:p w14:paraId="54DEE0B4" w14:textId="77777777" w:rsidR="00BC685F" w:rsidRDefault="00BC685F" w:rsidP="00BC685F">
      <w:pPr>
        <w:pStyle w:val="i-numberedlist2indentfo"/>
      </w:pPr>
    </w:p>
    <w:p w14:paraId="157356D7" w14:textId="6F333889" w:rsidR="002E3181" w:rsidRPr="007E7593" w:rsidRDefault="00AD7BE7" w:rsidP="003978E8">
      <w:pPr>
        <w:pStyle w:val="i-bodytextright"/>
      </w:pPr>
      <w:r>
        <w:t>(</w:t>
      </w:r>
      <w:r w:rsidR="003978E8">
        <w:t xml:space="preserve">1 + 1 + 1 = </w:t>
      </w:r>
      <w:r>
        <w:t>3</w:t>
      </w:r>
      <w:r w:rsidR="007E7593" w:rsidRPr="007E7593">
        <w:t xml:space="preserve"> marks)</w:t>
      </w:r>
    </w:p>
    <w:p w14:paraId="6A478CFB" w14:textId="3BD42E96" w:rsidR="00DD587C" w:rsidRDefault="007E7593" w:rsidP="003978E8">
      <w:pPr>
        <w:pStyle w:val="i-numberedlist1a"/>
      </w:pPr>
      <w:r w:rsidRPr="003978E8">
        <w:rPr>
          <w:rStyle w:val="i-listnumber"/>
        </w:rPr>
        <w:lastRenderedPageBreak/>
        <w:t>4</w:t>
      </w:r>
      <w:r w:rsidR="00FC6BE7">
        <w:tab/>
      </w:r>
      <w:r w:rsidR="00DD587C" w:rsidRPr="003978E8">
        <w:rPr>
          <w:rStyle w:val="i-listnumber"/>
        </w:rPr>
        <w:t>a</w:t>
      </w:r>
      <w:r w:rsidR="00FC6BE7">
        <w:tab/>
      </w:r>
      <w:r w:rsidR="00DD587C">
        <w:t xml:space="preserve">Explain why phenolphthalein can be used as an indicator for both a weak acid and a strong acid being titrated against a strong base, </w:t>
      </w:r>
      <w:r w:rsidR="009D7DA0">
        <w:t>while</w:t>
      </w:r>
      <w:r w:rsidR="00DD587C">
        <w:t xml:space="preserve"> methyl red could be used for the strong acid/strong base but not for the weak acid/strong base?</w:t>
      </w:r>
    </w:p>
    <w:p w14:paraId="112FD96B" w14:textId="24299012" w:rsidR="00DD587C" w:rsidRDefault="00DD587C" w:rsidP="00BC685F">
      <w:pPr>
        <w:pStyle w:val="i-numberedlist2indentfo"/>
      </w:pPr>
    </w:p>
    <w:p w14:paraId="6988CD51" w14:textId="77777777" w:rsidR="00BC685F" w:rsidRDefault="00BC685F" w:rsidP="00BC685F">
      <w:pPr>
        <w:pStyle w:val="i-numberedlist2indentfo"/>
      </w:pPr>
    </w:p>
    <w:p w14:paraId="7ACBEDF9" w14:textId="35976C1C" w:rsidR="00DD587C" w:rsidRPr="00DD587C" w:rsidRDefault="00DD587C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Which indicator would you use for the titration of KOH with CH</w:t>
      </w:r>
      <w:r w:rsidRPr="00D73E33">
        <w:rPr>
          <w:rStyle w:val="i-listsubscript"/>
        </w:rPr>
        <w:t>3</w:t>
      </w:r>
      <w:r>
        <w:t>COOH? Explain</w:t>
      </w:r>
      <w:r w:rsidR="003978E8">
        <w:t>.</w:t>
      </w:r>
    </w:p>
    <w:p w14:paraId="47FC9E64" w14:textId="7BC57B99" w:rsidR="00DD587C" w:rsidRDefault="00DD587C" w:rsidP="00BC685F">
      <w:pPr>
        <w:pStyle w:val="i-numberedlist2indentfo"/>
      </w:pPr>
    </w:p>
    <w:p w14:paraId="62239F7B" w14:textId="77777777" w:rsidR="00BC685F" w:rsidRDefault="00BC685F" w:rsidP="00BC685F">
      <w:pPr>
        <w:pStyle w:val="i-numberedlist2indentfo"/>
      </w:pPr>
    </w:p>
    <w:p w14:paraId="04D72251" w14:textId="0D1B416C" w:rsidR="007E7593" w:rsidRPr="007E7593" w:rsidRDefault="007E7593" w:rsidP="003978E8">
      <w:pPr>
        <w:pStyle w:val="i-bodytextright"/>
      </w:pPr>
      <w:r w:rsidRPr="007E7593">
        <w:t>(</w:t>
      </w:r>
      <w:r w:rsidR="003978E8">
        <w:t xml:space="preserve">2 + 1 = </w:t>
      </w:r>
      <w:r w:rsidR="00DD587C">
        <w:t>3</w:t>
      </w:r>
      <w:r w:rsidRPr="007E7593">
        <w:t xml:space="preserve"> marks)</w:t>
      </w:r>
    </w:p>
    <w:p w14:paraId="13603B9E" w14:textId="71C4ED56" w:rsidR="005C6C2C" w:rsidRDefault="007E7593" w:rsidP="003978E8">
      <w:pPr>
        <w:pStyle w:val="i-numberedlist1"/>
      </w:pPr>
      <w:r w:rsidRPr="00D73E33">
        <w:rPr>
          <w:rStyle w:val="i-listnumber"/>
        </w:rPr>
        <w:t>5</w:t>
      </w:r>
      <w:r w:rsidR="005C6C2C">
        <w:tab/>
        <w:t>A titration was done to standardise a solution of approximately 0.1</w:t>
      </w:r>
      <w:r w:rsidR="00BC685F">
        <w:t> </w:t>
      </w:r>
      <w:r w:rsidR="005C6C2C">
        <w:t>mol</w:t>
      </w:r>
      <w:r w:rsidR="00BC685F">
        <w:t> </w:t>
      </w:r>
      <w:r w:rsidR="005C6C2C">
        <w:t>L</w:t>
      </w:r>
      <w:r w:rsidR="003978E8" w:rsidRPr="00D73E33">
        <w:rPr>
          <w:rStyle w:val="i-listsuperscript"/>
        </w:rPr>
        <w:t>–</w:t>
      </w:r>
      <w:r w:rsidR="005C6C2C" w:rsidRPr="00D73E33">
        <w:rPr>
          <w:rStyle w:val="i-listsuperscript"/>
        </w:rPr>
        <w:t>1</w:t>
      </w:r>
      <w:r w:rsidR="005C6C2C">
        <w:t xml:space="preserve"> NaOH, using oxalic acid. 0.18</w:t>
      </w:r>
      <w:r w:rsidR="00BC685F">
        <w:t> </w:t>
      </w:r>
      <w:r w:rsidR="005C6C2C">
        <w:t>g of oxalic acid was completely dissolved in 20</w:t>
      </w:r>
      <w:r w:rsidR="00BC685F">
        <w:t> </w:t>
      </w:r>
      <w:r w:rsidR="005C6C2C">
        <w:t>mL of distilled water and titrated with the base. Using the results below, determine the concentration of the base.</w:t>
      </w:r>
    </w:p>
    <w:p w14:paraId="5F366FBB" w14:textId="666791D6" w:rsidR="005C6C2C" w:rsidRDefault="005C6C2C" w:rsidP="008032C7">
      <w:pPr>
        <w:pStyle w:val="i-numberedlist1indentfo"/>
      </w:pPr>
      <w:r>
        <w:t>Molar mass of oxalic acid</w:t>
      </w:r>
      <w:r w:rsidR="00340A8A">
        <w:t>, HOOCCOOH,</w:t>
      </w:r>
      <w:r>
        <w:t xml:space="preserve"> is 126</w:t>
      </w:r>
      <w:r w:rsidR="00BC685F">
        <w:t> </w:t>
      </w:r>
      <w:r>
        <w:t>g</w:t>
      </w:r>
      <w:r w:rsidR="00BC685F">
        <w:t> </w:t>
      </w:r>
      <w:r>
        <w:t>mol</w:t>
      </w:r>
      <w:r w:rsidR="008032C7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</w:p>
    <w:p w14:paraId="51F75B8F" w14:textId="2E3D9889" w:rsidR="00340A8A" w:rsidRPr="00340A8A" w:rsidRDefault="00340A8A" w:rsidP="008032C7">
      <w:pPr>
        <w:pStyle w:val="i-equationtext"/>
      </w:pPr>
      <w:r>
        <w:t xml:space="preserve">2NaOH + HOOCCOOH </w:t>
      </w:r>
      <w:r w:rsidRPr="007371CB">
        <w:t>→</w:t>
      </w:r>
      <w:r>
        <w:t xml:space="preserve"> NaOOCCOONa + 2H</w:t>
      </w:r>
      <w:r w:rsidRPr="00D73E33">
        <w:rPr>
          <w:rStyle w:val="i-listsubscript"/>
        </w:rPr>
        <w:t>2</w:t>
      </w:r>
      <w:r>
        <w:t>O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340A8A" w14:paraId="1724211E" w14:textId="77777777" w:rsidTr="00834C7F">
        <w:tc>
          <w:tcPr>
            <w:tcW w:w="2235" w:type="dxa"/>
          </w:tcPr>
          <w:p w14:paraId="1B3F2C83" w14:textId="77777777" w:rsidR="00340A8A" w:rsidRDefault="00340A8A" w:rsidP="00A76C4A">
            <w:pPr>
              <w:pStyle w:val="i-tablecolumnheadalignedleft"/>
            </w:pPr>
            <w:r>
              <w:t>Initial reading (mL)</w:t>
            </w:r>
          </w:p>
        </w:tc>
        <w:tc>
          <w:tcPr>
            <w:tcW w:w="1462" w:type="dxa"/>
            <w:vAlign w:val="center"/>
          </w:tcPr>
          <w:p w14:paraId="619B684B" w14:textId="1BBEAAAC" w:rsidR="00340A8A" w:rsidRDefault="00340A8A" w:rsidP="008032C7">
            <w:pPr>
              <w:pStyle w:val="i-tabletextalignedright"/>
            </w:pPr>
            <w:r>
              <w:t>0.00</w:t>
            </w:r>
          </w:p>
        </w:tc>
        <w:tc>
          <w:tcPr>
            <w:tcW w:w="1462" w:type="dxa"/>
            <w:vAlign w:val="center"/>
          </w:tcPr>
          <w:p w14:paraId="21FCE2C2" w14:textId="6F8BF4CF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3" w:type="dxa"/>
            <w:vAlign w:val="center"/>
          </w:tcPr>
          <w:p w14:paraId="7D93FA53" w14:textId="38A7C9FD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2" w:type="dxa"/>
            <w:vAlign w:val="center"/>
          </w:tcPr>
          <w:p w14:paraId="30F737CB" w14:textId="0ACE2E3B" w:rsidR="00340A8A" w:rsidRDefault="00340A8A" w:rsidP="008032C7">
            <w:pPr>
              <w:pStyle w:val="i-tabletextalignedright"/>
            </w:pPr>
            <w:r>
              <w:t>0.10</w:t>
            </w:r>
          </w:p>
        </w:tc>
      </w:tr>
      <w:tr w:rsidR="00340A8A" w14:paraId="0ABCD5E5" w14:textId="77777777" w:rsidTr="00834C7F">
        <w:tc>
          <w:tcPr>
            <w:tcW w:w="2235" w:type="dxa"/>
          </w:tcPr>
          <w:p w14:paraId="6017427B" w14:textId="77777777" w:rsidR="00340A8A" w:rsidRDefault="00340A8A" w:rsidP="00A76C4A">
            <w:pPr>
              <w:pStyle w:val="i-tablecolumnheadalignedleft"/>
            </w:pPr>
            <w:r>
              <w:t>Final reading (mL)</w:t>
            </w:r>
          </w:p>
        </w:tc>
        <w:tc>
          <w:tcPr>
            <w:tcW w:w="1462" w:type="dxa"/>
            <w:vAlign w:val="center"/>
          </w:tcPr>
          <w:p w14:paraId="775E4691" w14:textId="530DC9BA" w:rsidR="00340A8A" w:rsidRDefault="00340A8A" w:rsidP="008032C7">
            <w:pPr>
              <w:pStyle w:val="i-tabletextalignedright"/>
            </w:pPr>
            <w:r>
              <w:t>22.00</w:t>
            </w:r>
          </w:p>
        </w:tc>
        <w:tc>
          <w:tcPr>
            <w:tcW w:w="1462" w:type="dxa"/>
            <w:vAlign w:val="center"/>
          </w:tcPr>
          <w:p w14:paraId="76C6195D" w14:textId="5F2DF2BA" w:rsidR="00340A8A" w:rsidRDefault="00340A8A" w:rsidP="008032C7">
            <w:pPr>
              <w:pStyle w:val="i-tabletextalignedright"/>
            </w:pPr>
            <w:r>
              <w:t>20.10</w:t>
            </w:r>
          </w:p>
        </w:tc>
        <w:tc>
          <w:tcPr>
            <w:tcW w:w="1463" w:type="dxa"/>
            <w:vAlign w:val="center"/>
          </w:tcPr>
          <w:p w14:paraId="28C80C2F" w14:textId="5951F801" w:rsidR="00340A8A" w:rsidRDefault="00340A8A" w:rsidP="008032C7">
            <w:pPr>
              <w:pStyle w:val="i-tabletextalignedright"/>
            </w:pPr>
            <w:r>
              <w:t>20.20</w:t>
            </w:r>
          </w:p>
        </w:tc>
        <w:tc>
          <w:tcPr>
            <w:tcW w:w="1462" w:type="dxa"/>
            <w:vAlign w:val="center"/>
          </w:tcPr>
          <w:p w14:paraId="1D88233E" w14:textId="28C1AE8E" w:rsidR="00340A8A" w:rsidRDefault="00340A8A" w:rsidP="008032C7">
            <w:pPr>
              <w:pStyle w:val="i-tabletextalignedright"/>
            </w:pPr>
            <w:r>
              <w:t>20.00</w:t>
            </w:r>
          </w:p>
        </w:tc>
      </w:tr>
    </w:tbl>
    <w:p w14:paraId="44FEC704" w14:textId="2E17F717" w:rsidR="00340A8A" w:rsidRDefault="00340A8A" w:rsidP="00BC685F">
      <w:pPr>
        <w:pStyle w:val="i-numberedlist1indentfo"/>
      </w:pPr>
    </w:p>
    <w:p w14:paraId="686EF057" w14:textId="77777777" w:rsidR="00BC685F" w:rsidRDefault="00BC685F" w:rsidP="00BC685F">
      <w:pPr>
        <w:pStyle w:val="i-numberedlist1indentfo"/>
      </w:pPr>
    </w:p>
    <w:p w14:paraId="4C4C3758" w14:textId="5A1D043B" w:rsidR="007E7593" w:rsidRPr="007E7593" w:rsidRDefault="007E7593" w:rsidP="008032C7">
      <w:pPr>
        <w:pStyle w:val="i-bodytextright"/>
      </w:pPr>
      <w:r w:rsidRPr="007E7593">
        <w:t>(</w:t>
      </w:r>
      <w:r w:rsidR="00340A8A">
        <w:t>3</w:t>
      </w:r>
      <w:r w:rsidRPr="007E7593">
        <w:t xml:space="preserve"> marks)</w:t>
      </w:r>
    </w:p>
    <w:sectPr w:rsidR="007E7593" w:rsidRPr="007E7593" w:rsidSect="000529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0DFE4" w14:textId="77777777" w:rsidR="00CC1C7A" w:rsidRDefault="00CC1C7A" w:rsidP="00A76C4A">
      <w:r>
        <w:separator/>
      </w:r>
    </w:p>
  </w:endnote>
  <w:endnote w:type="continuationSeparator" w:id="0">
    <w:p w14:paraId="7404D5AE" w14:textId="77777777" w:rsidR="00CC1C7A" w:rsidRDefault="00CC1C7A" w:rsidP="00A7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AEFC5" w14:textId="43A26786" w:rsidR="00A76C4A" w:rsidRPr="00BC685F" w:rsidRDefault="00BC685F" w:rsidP="00BC685F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CHEAC12TT00062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01017" w14:textId="77777777" w:rsidR="00CC1C7A" w:rsidRDefault="00CC1C7A" w:rsidP="00A76C4A">
      <w:r>
        <w:separator/>
      </w:r>
    </w:p>
  </w:footnote>
  <w:footnote w:type="continuationSeparator" w:id="0">
    <w:p w14:paraId="0B1F0CF8" w14:textId="77777777" w:rsidR="00CC1C7A" w:rsidRDefault="00CC1C7A" w:rsidP="00A76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003BC" w14:textId="77777777" w:rsidR="00BC685F" w:rsidRDefault="00BC685F" w:rsidP="00BC685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603FE938" wp14:editId="0EE303B4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364CD8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364CD8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14:paraId="4BDC3EA1" w14:textId="77777777" w:rsidR="00BC685F" w:rsidRDefault="00BC685F" w:rsidP="00BC685F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70DCEBA6" w14:textId="77777777" w:rsidR="00BC685F" w:rsidRDefault="00BC68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345"/>
    <w:multiLevelType w:val="hybridMultilevel"/>
    <w:tmpl w:val="60786DF4"/>
    <w:lvl w:ilvl="0" w:tplc="79F0686C">
      <w:start w:val="2"/>
      <w:numFmt w:val="lowerLetter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4A794C91"/>
    <w:multiLevelType w:val="hybridMultilevel"/>
    <w:tmpl w:val="557040F8"/>
    <w:lvl w:ilvl="0" w:tplc="F3FA51E4">
      <w:start w:val="9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77EAEF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452F880">
      <w:start w:val="1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943AEF"/>
    <w:multiLevelType w:val="hybridMultilevel"/>
    <w:tmpl w:val="41720D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D2673"/>
    <w:rsid w:val="0012530F"/>
    <w:rsid w:val="001256B5"/>
    <w:rsid w:val="00183372"/>
    <w:rsid w:val="002007B2"/>
    <w:rsid w:val="00205AC8"/>
    <w:rsid w:val="0023081F"/>
    <w:rsid w:val="0026422C"/>
    <w:rsid w:val="002A6C2D"/>
    <w:rsid w:val="002E3181"/>
    <w:rsid w:val="00340A8A"/>
    <w:rsid w:val="00347A47"/>
    <w:rsid w:val="00364CD8"/>
    <w:rsid w:val="00365EDE"/>
    <w:rsid w:val="003916BE"/>
    <w:rsid w:val="003978E8"/>
    <w:rsid w:val="003E3052"/>
    <w:rsid w:val="00433C51"/>
    <w:rsid w:val="004B0DA4"/>
    <w:rsid w:val="005120B9"/>
    <w:rsid w:val="005216C0"/>
    <w:rsid w:val="00523D6B"/>
    <w:rsid w:val="005C6C2C"/>
    <w:rsid w:val="005E691E"/>
    <w:rsid w:val="0070465E"/>
    <w:rsid w:val="007271FF"/>
    <w:rsid w:val="00735CFB"/>
    <w:rsid w:val="007446D0"/>
    <w:rsid w:val="0079772E"/>
    <w:rsid w:val="007E7593"/>
    <w:rsid w:val="008032C7"/>
    <w:rsid w:val="00834C7F"/>
    <w:rsid w:val="00846C0F"/>
    <w:rsid w:val="00860556"/>
    <w:rsid w:val="008D17AD"/>
    <w:rsid w:val="00902993"/>
    <w:rsid w:val="009309BD"/>
    <w:rsid w:val="00985107"/>
    <w:rsid w:val="009D7DA0"/>
    <w:rsid w:val="009E1FD8"/>
    <w:rsid w:val="009E46E6"/>
    <w:rsid w:val="00A323D5"/>
    <w:rsid w:val="00A61F1A"/>
    <w:rsid w:val="00A67D7F"/>
    <w:rsid w:val="00A76C4A"/>
    <w:rsid w:val="00AD3141"/>
    <w:rsid w:val="00AD7BE7"/>
    <w:rsid w:val="00AE12A0"/>
    <w:rsid w:val="00AF0B6B"/>
    <w:rsid w:val="00B052A6"/>
    <w:rsid w:val="00B40BF9"/>
    <w:rsid w:val="00B51998"/>
    <w:rsid w:val="00B74D69"/>
    <w:rsid w:val="00BC685F"/>
    <w:rsid w:val="00BD3C89"/>
    <w:rsid w:val="00BE150E"/>
    <w:rsid w:val="00BE6A5B"/>
    <w:rsid w:val="00C224CE"/>
    <w:rsid w:val="00C340CD"/>
    <w:rsid w:val="00CC1C7A"/>
    <w:rsid w:val="00D00AA9"/>
    <w:rsid w:val="00D0326E"/>
    <w:rsid w:val="00D16A5F"/>
    <w:rsid w:val="00D73E33"/>
    <w:rsid w:val="00D75A48"/>
    <w:rsid w:val="00D76665"/>
    <w:rsid w:val="00D76B20"/>
    <w:rsid w:val="00D85AED"/>
    <w:rsid w:val="00D92EE0"/>
    <w:rsid w:val="00DD587C"/>
    <w:rsid w:val="00E85756"/>
    <w:rsid w:val="00EC46FC"/>
    <w:rsid w:val="00EC4837"/>
    <w:rsid w:val="00F82526"/>
    <w:rsid w:val="00FB3369"/>
    <w:rsid w:val="00FC6BE7"/>
    <w:rsid w:val="00FE0129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188BA"/>
  <w15:docId w15:val="{8B2AD4B2-E632-418B-BF15-68D02734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BC68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35C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table" w:styleId="TableGrid">
    <w:name w:val="Table Grid"/>
    <w:basedOn w:val="TableNormal"/>
    <w:rsid w:val="00735CF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otetoDTOchar">
    <w:name w:val="&lt;i - note to DTO char&gt;"/>
    <w:uiPriority w:val="1"/>
    <w:rsid w:val="00735CFB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735CFB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735CFB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735CFB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735CFB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735CFB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735CFB"/>
    <w:rPr>
      <w:b/>
    </w:rPr>
  </w:style>
  <w:style w:type="paragraph" w:customStyle="1" w:styleId="i-tablecolumnheadalignedleft">
    <w:name w:val="i - table column head aligned left"/>
    <w:basedOn w:val="Normal"/>
    <w:autoRedefine/>
    <w:rsid w:val="00A76C4A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735CFB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735CFB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735CFB"/>
    <w:pPr>
      <w:jc w:val="center"/>
    </w:pPr>
  </w:style>
  <w:style w:type="character" w:customStyle="1" w:styleId="i-tabletextbold">
    <w:name w:val="i - table text bold"/>
    <w:rsid w:val="00735CFB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735CFB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735CFB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735CFB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FB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735CFB"/>
    <w:rPr>
      <w:i/>
    </w:rPr>
  </w:style>
  <w:style w:type="paragraph" w:customStyle="1" w:styleId="i-figurecaption">
    <w:name w:val="i - figure caption"/>
    <w:basedOn w:val="Normal"/>
    <w:rsid w:val="00735CFB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735CFB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735CFB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735CFB"/>
    <w:pPr>
      <w:ind w:firstLine="225"/>
    </w:pPr>
  </w:style>
  <w:style w:type="character" w:customStyle="1" w:styleId="i-bodytextitalic">
    <w:name w:val="i - body text italic"/>
    <w:uiPriority w:val="1"/>
    <w:rsid w:val="00735CFB"/>
    <w:rPr>
      <w:i/>
    </w:rPr>
  </w:style>
  <w:style w:type="paragraph" w:customStyle="1" w:styleId="i-bodytextright">
    <w:name w:val="i - body text right"/>
    <w:basedOn w:val="i-bodytextfo"/>
    <w:rsid w:val="00BC685F"/>
    <w:pPr>
      <w:suppressAutoHyphens/>
      <w:jc w:val="right"/>
    </w:pPr>
  </w:style>
  <w:style w:type="character" w:customStyle="1" w:styleId="i-bodytextsubscript">
    <w:name w:val="i - body text subscript"/>
    <w:uiPriority w:val="1"/>
    <w:rsid w:val="00735CFB"/>
    <w:rPr>
      <w:vertAlign w:val="subscript"/>
    </w:rPr>
  </w:style>
  <w:style w:type="character" w:customStyle="1" w:styleId="i-bodytextsubscriptitalic">
    <w:name w:val="i - body text subscript italic"/>
    <w:uiPriority w:val="1"/>
    <w:rsid w:val="00735CFB"/>
    <w:rPr>
      <w:i/>
      <w:vertAlign w:val="subscript"/>
    </w:rPr>
  </w:style>
  <w:style w:type="character" w:customStyle="1" w:styleId="i-bodytextsuperscript">
    <w:name w:val="i - body text superscript"/>
    <w:rsid w:val="00735CFB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735CFB"/>
    <w:rPr>
      <w:i/>
      <w:vertAlign w:val="superscript"/>
    </w:rPr>
  </w:style>
  <w:style w:type="character" w:customStyle="1" w:styleId="i-bodytexturl">
    <w:name w:val="i - body text url"/>
    <w:basedOn w:val="DefaultParagraphFont"/>
    <w:rsid w:val="00735CFB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735CFB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735CFB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735CFB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735CFB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735CFB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735CFB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735CFB"/>
    <w:rPr>
      <w:b/>
    </w:rPr>
  </w:style>
  <w:style w:type="paragraph" w:customStyle="1" w:styleId="i-footertext">
    <w:name w:val="i - footer text"/>
    <w:basedOn w:val="Normal"/>
    <w:autoRedefine/>
    <w:rsid w:val="00735CFB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735CFB"/>
    <w:rPr>
      <w:rFonts w:ascii="Arial" w:hAnsi="Arial"/>
      <w:i/>
    </w:rPr>
  </w:style>
  <w:style w:type="character" w:customStyle="1" w:styleId="i-headsubscript">
    <w:name w:val="i - head subscript"/>
    <w:uiPriority w:val="1"/>
    <w:rsid w:val="00735CFB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735CFB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735CFB"/>
    <w:rPr>
      <w:color w:val="494949"/>
      <w:sz w:val="22"/>
    </w:rPr>
  </w:style>
  <w:style w:type="paragraph" w:customStyle="1" w:styleId="i-label2">
    <w:name w:val="i - label 2"/>
    <w:rsid w:val="00735CFB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735CFB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735CFB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735CFB"/>
    <w:rPr>
      <w:b/>
    </w:rPr>
  </w:style>
  <w:style w:type="character" w:customStyle="1" w:styleId="i-labelitalic">
    <w:name w:val="i - label italic"/>
    <w:uiPriority w:val="1"/>
    <w:rsid w:val="00735CFB"/>
    <w:rPr>
      <w:i/>
    </w:rPr>
  </w:style>
  <w:style w:type="character" w:customStyle="1" w:styleId="i-labelsubscript">
    <w:name w:val="i - label subscript"/>
    <w:uiPriority w:val="1"/>
    <w:rsid w:val="00735CFB"/>
    <w:rPr>
      <w:vertAlign w:val="subscript"/>
    </w:rPr>
  </w:style>
  <w:style w:type="character" w:customStyle="1" w:styleId="i-labelsuperscript">
    <w:name w:val="i - label superscript"/>
    <w:uiPriority w:val="1"/>
    <w:rsid w:val="00735CFB"/>
    <w:rPr>
      <w:vertAlign w:val="superscript"/>
    </w:rPr>
  </w:style>
  <w:style w:type="character" w:customStyle="1" w:styleId="i-listbold">
    <w:name w:val="i - list bold"/>
    <w:uiPriority w:val="1"/>
    <w:qFormat/>
    <w:rsid w:val="00735CFB"/>
    <w:rPr>
      <w:b/>
    </w:rPr>
  </w:style>
  <w:style w:type="character" w:customStyle="1" w:styleId="i-listitalic">
    <w:name w:val="i - list italic"/>
    <w:basedOn w:val="DefaultParagraphFont"/>
    <w:uiPriority w:val="1"/>
    <w:rsid w:val="00735CFB"/>
    <w:rPr>
      <w:i/>
    </w:rPr>
  </w:style>
  <w:style w:type="character" w:customStyle="1" w:styleId="i-listnumber">
    <w:name w:val="i - list number"/>
    <w:qFormat/>
    <w:rsid w:val="00735CFB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735CFB"/>
    <w:rPr>
      <w:vertAlign w:val="subscript"/>
    </w:rPr>
  </w:style>
  <w:style w:type="character" w:customStyle="1" w:styleId="i-listsubscriptitalic">
    <w:name w:val="i - list subscript italic"/>
    <w:uiPriority w:val="1"/>
    <w:rsid w:val="00735CFB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735CFB"/>
    <w:rPr>
      <w:vertAlign w:val="superscript"/>
    </w:rPr>
  </w:style>
  <w:style w:type="character" w:customStyle="1" w:styleId="i-listsuperscriptitalic">
    <w:name w:val="i - list superscript italic"/>
    <w:uiPriority w:val="1"/>
    <w:rsid w:val="00735CFB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735CFB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BC685F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735CFB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735CFB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BC685F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735CFB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BC685F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735CFB"/>
    <w:pPr>
      <w:ind w:left="720"/>
    </w:pPr>
  </w:style>
  <w:style w:type="paragraph" w:customStyle="1" w:styleId="i-numberedlist2a">
    <w:name w:val="i - numbered list 2a"/>
    <w:basedOn w:val="i-numberedlist1a"/>
    <w:rsid w:val="00735CFB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735CFB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735CFB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735CFB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735CFB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735CFB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735CFB"/>
  </w:style>
  <w:style w:type="character" w:customStyle="1" w:styleId="i-tablenumber">
    <w:name w:val="i - table number"/>
    <w:rsid w:val="00735CFB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735CFB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735CFB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735CFB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735CFB"/>
  </w:style>
  <w:style w:type="character" w:customStyle="1" w:styleId="i-tabletextsubscript">
    <w:name w:val="i - table text subscript"/>
    <w:uiPriority w:val="1"/>
    <w:rsid w:val="00735CFB"/>
    <w:rPr>
      <w:vertAlign w:val="subscript"/>
    </w:rPr>
  </w:style>
  <w:style w:type="character" w:customStyle="1" w:styleId="i-tabletextsubscriptitalic">
    <w:name w:val="i - table text subscript italic"/>
    <w:uiPriority w:val="1"/>
    <w:rsid w:val="00735CFB"/>
    <w:rPr>
      <w:i/>
      <w:vertAlign w:val="subscript"/>
    </w:rPr>
  </w:style>
  <w:style w:type="character" w:customStyle="1" w:styleId="i-tabletextsuperscript">
    <w:name w:val="i - table text superscript"/>
    <w:rsid w:val="00735CFB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735CFB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735CFB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735CFB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735CFB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735CFB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735C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35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83CC8A-B3E7-4FA2-9EE2-38DB129B85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B2BC57-596F-48D5-85D2-1862EC0B04C5}"/>
</file>

<file path=customXml/itemProps3.xml><?xml version="1.0" encoding="utf-8"?>
<ds:datastoreItem xmlns:ds="http://schemas.openxmlformats.org/officeDocument/2006/customXml" ds:itemID="{C0A24399-E4D5-47C5-8F7E-BDF02BDDD391}"/>
</file>

<file path=customXml/itemProps4.xml><?xml version="1.0" encoding="utf-8"?>
<ds:datastoreItem xmlns:ds="http://schemas.openxmlformats.org/officeDocument/2006/customXml" ds:itemID="{51592906-BEA8-4816-9D2F-15510D3B66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2016-01-29T06:50:00Z</dcterms:created>
  <dcterms:modified xsi:type="dcterms:W3CDTF">2016-01-29T06:50:00Z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